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47EE">
      <w:pPr>
        <w:ind w:left="4183"/>
        <w:jc w:val="both"/>
        <w:rPr>
          <w:color w:val="000000"/>
          <w:sz w:val="24"/>
          <w:szCs w:val="24"/>
        </w:rPr>
      </w:pPr>
      <w:bookmarkStart w:id="0" w:name="_heading=h.gjdgxs" w:colFirst="0" w:colLast="0"/>
      <w:bookmarkEnd w:id="0"/>
      <w:r>
        <w:rPr>
          <w:color w:val="000000"/>
          <w:sz w:val="24"/>
          <w:szCs w:val="24"/>
        </w:rPr>
        <w:drawing>
          <wp:inline distT="0" distB="0" distL="0" distR="0">
            <wp:extent cx="1649095" cy="673100"/>
            <wp:effectExtent l="0" t="0" r="0" b="0"/>
            <wp:docPr id="113" name="image1.png"/>
            <wp:cNvGraphicFramePr/>
            <a:graphic xmlns:a="http://schemas.openxmlformats.org/drawingml/2006/main">
              <a:graphicData uri="http://schemas.openxmlformats.org/drawingml/2006/picture">
                <pic:pic xmlns:pic="http://schemas.openxmlformats.org/drawingml/2006/picture">
                  <pic:nvPicPr>
                    <pic:cNvPr id="113" name="image1.png"/>
                    <pic:cNvPicPr preferRelativeResize="0"/>
                  </pic:nvPicPr>
                  <pic:blipFill>
                    <a:blip r:embed="rId5"/>
                    <a:srcRect/>
                    <a:stretch>
                      <a:fillRect/>
                    </a:stretch>
                  </pic:blipFill>
                  <pic:spPr>
                    <a:xfrm>
                      <a:off x="0" y="0"/>
                      <a:ext cx="1649095" cy="673100"/>
                    </a:xfrm>
                    <a:prstGeom prst="rect">
                      <a:avLst/>
                    </a:prstGeom>
                  </pic:spPr>
                </pic:pic>
              </a:graphicData>
            </a:graphic>
          </wp:inline>
        </w:drawing>
      </w:r>
    </w:p>
    <w:p w14:paraId="109EB67B">
      <w:pPr>
        <w:spacing w:before="67"/>
        <w:jc w:val="both"/>
        <w:rPr>
          <w:color w:val="000000"/>
          <w:sz w:val="24"/>
          <w:szCs w:val="24"/>
        </w:rPr>
      </w:pPr>
    </w:p>
    <w:p w14:paraId="4FBE2607">
      <w:pPr>
        <w:pStyle w:val="19"/>
        <w:rPr>
          <w:sz w:val="24"/>
          <w:szCs w:val="24"/>
        </w:rPr>
      </w:pPr>
      <w:r>
        <w:rPr>
          <w:sz w:val="24"/>
          <w:szCs w:val="24"/>
        </w:rPr>
        <w:t>Biodiversity and Biosafety Association of Kenya (BI</w:t>
      </w:r>
      <w:sdt>
        <w:sdtPr>
          <w:tag w:val="goog_rdk_0"/>
          <w:id w:val="147453481"/>
        </w:sdtPr>
        <w:sdtContent/>
      </w:sdt>
      <w:r>
        <w:rPr>
          <w:sz w:val="24"/>
          <w:szCs w:val="24"/>
        </w:rPr>
        <w:t>BA Kenya)</w:t>
      </w:r>
    </w:p>
    <w:p w14:paraId="6E123202">
      <w:pPr>
        <w:pStyle w:val="19"/>
        <w:shd w:val="clear" w:color="auto" w:fill="C7DAF1"/>
        <w:spacing w:before="287"/>
        <w:ind w:left="120" w:right="113"/>
      </w:pPr>
      <w:r>
        <w:rPr>
          <w:sz w:val="24"/>
          <w:szCs w:val="24"/>
        </w:rPr>
        <w:t>TERMS OF REFERENCE (ToR) FOR CONSULTANCY FOR A STUDY ON THE EFFECTS OF TOXIC PESTICIDES ON WOMEN AND CHILDREN AND DISSEMINATION OF FINDINGS TO THE PUBLIC, FARMERS, AND CONSUMERS</w:t>
      </w:r>
    </w:p>
    <w:p w14:paraId="0333D420"/>
    <w:p w14:paraId="0DC584D1">
      <w:pPr>
        <w:pStyle w:val="2"/>
        <w:numPr>
          <w:ilvl w:val="0"/>
          <w:numId w:val="1"/>
        </w:numPr>
        <w:shd w:val="clear" w:color="auto" w:fill="C7DAF1"/>
        <w:tabs>
          <w:tab w:val="left" w:pos="477"/>
        </w:tabs>
        <w:spacing w:before="240"/>
        <w:jc w:val="both"/>
      </w:pPr>
      <w:r>
        <w:t>INTRODUCTION</w:t>
      </w:r>
    </w:p>
    <w:p w14:paraId="7BB67AD1">
      <w:pPr>
        <w:pStyle w:val="3"/>
        <w:numPr>
          <w:ilvl w:val="1"/>
          <w:numId w:val="1"/>
        </w:numPr>
        <w:tabs>
          <w:tab w:val="left" w:pos="480"/>
        </w:tabs>
        <w:spacing w:before="41"/>
        <w:jc w:val="both"/>
      </w:pPr>
      <w:r>
        <w:t>Back ground</w:t>
      </w:r>
    </w:p>
    <w:p w14:paraId="69928656">
      <w:pPr>
        <w:widowControl/>
        <w:ind w:left="120"/>
        <w:jc w:val="both"/>
        <w:rPr>
          <w:color w:val="000000"/>
          <w:sz w:val="24"/>
          <w:szCs w:val="24"/>
        </w:rPr>
      </w:pPr>
      <w:r>
        <w:rPr>
          <w:color w:val="000000"/>
          <w:sz w:val="24"/>
          <w:szCs w:val="24"/>
        </w:rPr>
        <w:t>BIBA Kenya is a national network of farmer organizations, animal welfare groups, consumer networks, faith-based organizations, local non-governmental organizations, and community-based organization promoting agroecology,</w:t>
      </w:r>
      <w:r>
        <w:rPr>
          <w:sz w:val="24"/>
          <w:szCs w:val="24"/>
        </w:rPr>
        <w:t xml:space="preserve"> </w:t>
      </w:r>
      <w:r>
        <w:rPr>
          <w:color w:val="000000"/>
          <w:sz w:val="24"/>
          <w:szCs w:val="24"/>
        </w:rPr>
        <w:t>environment, health, food safety and biodiversity.  Currently, it comprises 52 member organizations spread across 22 counties. These member organizations are distributed across regions including Nairobi, Central, Rift Valley, Western, Eastern, and Nyanza.</w:t>
      </w:r>
    </w:p>
    <w:p w14:paraId="710C3FC4">
      <w:pPr>
        <w:spacing w:before="100" w:beforeAutospacing="1" w:after="100" w:afterAutospacing="1"/>
        <w:ind w:left="120"/>
        <w:jc w:val="both"/>
        <w:rPr>
          <w:color w:val="000000"/>
          <w:sz w:val="24"/>
          <w:szCs w:val="24"/>
        </w:rPr>
      </w:pPr>
      <w:r>
        <w:rPr>
          <w:color w:val="000000"/>
          <w:sz w:val="24"/>
          <w:szCs w:val="24"/>
        </w:rPr>
        <w:t xml:space="preserve">BIBA Kenya’s mandate is to ensure the public is </w:t>
      </w:r>
      <w:r>
        <w:rPr>
          <w:b/>
          <w:color w:val="000000"/>
          <w:sz w:val="24"/>
          <w:szCs w:val="24"/>
        </w:rPr>
        <w:t>AWARE</w:t>
      </w:r>
      <w:r>
        <w:rPr>
          <w:color w:val="000000"/>
          <w:sz w:val="24"/>
          <w:szCs w:val="24"/>
        </w:rPr>
        <w:t xml:space="preserve"> and </w:t>
      </w:r>
      <w:r>
        <w:rPr>
          <w:b/>
          <w:color w:val="000000"/>
          <w:sz w:val="24"/>
          <w:szCs w:val="24"/>
        </w:rPr>
        <w:t>ALERT</w:t>
      </w:r>
      <w:r>
        <w:rPr>
          <w:color w:val="000000"/>
          <w:sz w:val="24"/>
          <w:szCs w:val="24"/>
        </w:rPr>
        <w:t xml:space="preserve"> about critical issues related to the environment, agriculture, livestock, food safety, health, and biodiversity. The network envisions a healthy nation that safeguards its biodiversity to promote community justice and sustainable livelihoods. BIBA Kenya implements its activities at the community level through its member organizations. </w:t>
      </w:r>
    </w:p>
    <w:p w14:paraId="3DB0B63E">
      <w:pPr>
        <w:spacing w:before="100" w:beforeAutospacing="1" w:after="100" w:afterAutospacing="1"/>
        <w:ind w:left="120"/>
        <w:jc w:val="both"/>
        <w:rPr>
          <w:color w:val="000000"/>
          <w:sz w:val="24"/>
          <w:szCs w:val="24"/>
        </w:rPr>
      </w:pPr>
      <w:r>
        <w:rPr>
          <w:color w:val="000000"/>
          <w:sz w:val="24"/>
          <w:szCs w:val="24"/>
        </w:rPr>
        <w:t>Pesticide use in agriculture has significant impacts on human health and the environment. Women and children, particularly in rural and farming communities, are disproportionately affected due to their exposure through work, household activities, and consumption of pesticide-contaminated food. Understanding these impacts is crucial for advocating for safer sustainable agricultural practices and influencing policy changes. BIBA Kenya is seeking for a consultancy service in conducting a desktop study</w:t>
      </w:r>
      <w:r>
        <w:t xml:space="preserve"> </w:t>
      </w:r>
      <w:r>
        <w:rPr>
          <w:color w:val="000000"/>
          <w:sz w:val="24"/>
          <w:szCs w:val="24"/>
        </w:rPr>
        <w:t>on the effects of toxic pesticides on women and children health. The consultant will also recommend strategies of disseminating the findings to the public, farmers and consumers.</w:t>
      </w:r>
    </w:p>
    <w:p w14:paraId="0F735FC0">
      <w:pPr>
        <w:pStyle w:val="3"/>
      </w:pPr>
      <w:r>
        <w:t>1.2. Purpose of the consultancy</w:t>
      </w:r>
    </w:p>
    <w:p w14:paraId="72C68F65">
      <w:pPr>
        <w:spacing w:after="100" w:afterAutospacing="1"/>
        <w:ind w:left="120"/>
        <w:jc w:val="both"/>
        <w:rPr>
          <w:sz w:val="24"/>
          <w:szCs w:val="24"/>
        </w:rPr>
      </w:pPr>
      <w:r>
        <w:rPr>
          <w:sz w:val="24"/>
          <w:szCs w:val="24"/>
        </w:rPr>
        <w:t>The purpose of this consultancy is to</w:t>
      </w:r>
      <w:r>
        <w:t xml:space="preserve"> conduct a comprehensive desktop review on the effects of toxic pesticides on women and children and recommend strategies for effective dissemination of the findings to the public, farmers, and consumers.</w:t>
      </w:r>
    </w:p>
    <w:p w14:paraId="0B633FFC">
      <w:pPr>
        <w:pStyle w:val="2"/>
        <w:numPr>
          <w:ilvl w:val="0"/>
          <w:numId w:val="1"/>
        </w:numPr>
        <w:shd w:val="clear" w:color="auto" w:fill="C7DAF1"/>
        <w:tabs>
          <w:tab w:val="left" w:pos="477"/>
        </w:tabs>
        <w:jc w:val="both"/>
      </w:pPr>
      <w:r>
        <w:t>SCOPE OF WORK</w:t>
      </w:r>
    </w:p>
    <w:p w14:paraId="6A93F88D">
      <w:pPr>
        <w:ind w:left="120"/>
        <w:jc w:val="both"/>
        <w:rPr>
          <w:sz w:val="24"/>
          <w:szCs w:val="24"/>
        </w:rPr>
      </w:pPr>
      <w:r>
        <w:rPr>
          <w:sz w:val="24"/>
          <w:szCs w:val="24"/>
        </w:rPr>
        <w:t>The consultant will undertake the following tasks:</w:t>
      </w:r>
    </w:p>
    <w:p w14:paraId="4D5CC495">
      <w:pPr>
        <w:ind w:left="120"/>
        <w:jc w:val="both"/>
        <w:rPr>
          <w:sz w:val="24"/>
          <w:szCs w:val="24"/>
        </w:rPr>
      </w:pPr>
    </w:p>
    <w:p w14:paraId="3FB003D7">
      <w:pPr>
        <w:pStyle w:val="22"/>
        <w:numPr>
          <w:ilvl w:val="0"/>
          <w:numId w:val="2"/>
        </w:numPr>
        <w:jc w:val="both"/>
        <w:rPr>
          <w:sz w:val="24"/>
          <w:szCs w:val="24"/>
        </w:rPr>
      </w:pPr>
      <w:r>
        <w:rPr>
          <w:sz w:val="24"/>
          <w:szCs w:val="24"/>
        </w:rPr>
        <w:t>Literature review:</w:t>
      </w:r>
    </w:p>
    <w:p w14:paraId="699917E4">
      <w:pPr>
        <w:pStyle w:val="22"/>
        <w:numPr>
          <w:ilvl w:val="0"/>
          <w:numId w:val="3"/>
        </w:numPr>
        <w:ind w:left="1080"/>
        <w:jc w:val="both"/>
        <w:rPr>
          <w:sz w:val="24"/>
          <w:szCs w:val="24"/>
        </w:rPr>
      </w:pPr>
      <w:r>
        <w:rPr>
          <w:sz w:val="24"/>
          <w:szCs w:val="24"/>
        </w:rPr>
        <w:t>Compile and analyze existing research on the health impacts of toxic pesticides on women and children.</w:t>
      </w:r>
    </w:p>
    <w:p w14:paraId="0F963E74">
      <w:pPr>
        <w:pStyle w:val="22"/>
        <w:numPr>
          <w:ilvl w:val="0"/>
          <w:numId w:val="3"/>
        </w:numPr>
        <w:ind w:left="1080"/>
        <w:jc w:val="both"/>
        <w:rPr>
          <w:sz w:val="24"/>
          <w:szCs w:val="24"/>
        </w:rPr>
      </w:pPr>
      <w:r>
        <w:rPr>
          <w:sz w:val="24"/>
          <w:szCs w:val="24"/>
        </w:rPr>
        <w:t>Identify the most commonly used pesticides in Kenya and their documented effects.</w:t>
      </w:r>
    </w:p>
    <w:p w14:paraId="4C3EAC86">
      <w:pPr>
        <w:pStyle w:val="22"/>
        <w:numPr>
          <w:ilvl w:val="0"/>
          <w:numId w:val="3"/>
        </w:numPr>
        <w:ind w:left="1080"/>
        <w:jc w:val="both"/>
        <w:rPr>
          <w:sz w:val="24"/>
          <w:szCs w:val="24"/>
        </w:rPr>
      </w:pPr>
      <w:r>
        <w:rPr>
          <w:sz w:val="24"/>
          <w:szCs w:val="24"/>
        </w:rPr>
        <w:t>Assess the socio-economic and cultural factors contributing to exposure and vulnerability.</w:t>
      </w:r>
    </w:p>
    <w:p w14:paraId="67F83A69">
      <w:pPr>
        <w:pStyle w:val="22"/>
        <w:numPr>
          <w:ilvl w:val="0"/>
          <w:numId w:val="2"/>
        </w:numPr>
        <w:jc w:val="both"/>
        <w:rPr>
          <w:sz w:val="24"/>
          <w:szCs w:val="24"/>
        </w:rPr>
      </w:pPr>
      <w:r>
        <w:rPr>
          <w:sz w:val="24"/>
          <w:szCs w:val="24"/>
        </w:rPr>
        <w:t>Data analysis:</w:t>
      </w:r>
    </w:p>
    <w:p w14:paraId="2183D396">
      <w:pPr>
        <w:pStyle w:val="22"/>
        <w:numPr>
          <w:ilvl w:val="0"/>
          <w:numId w:val="4"/>
        </w:numPr>
        <w:jc w:val="both"/>
        <w:rPr>
          <w:sz w:val="24"/>
          <w:szCs w:val="24"/>
        </w:rPr>
      </w:pPr>
      <w:r>
        <w:rPr>
          <w:sz w:val="24"/>
          <w:szCs w:val="24"/>
        </w:rPr>
        <w:t>Summarize key findings on health risks, including acute and chronic illnesses.</w:t>
      </w:r>
    </w:p>
    <w:p w14:paraId="39B26490">
      <w:pPr>
        <w:pStyle w:val="22"/>
        <w:numPr>
          <w:ilvl w:val="0"/>
          <w:numId w:val="4"/>
        </w:numPr>
        <w:jc w:val="both"/>
        <w:rPr>
          <w:sz w:val="24"/>
          <w:szCs w:val="24"/>
        </w:rPr>
      </w:pPr>
      <w:r>
        <w:rPr>
          <w:sz w:val="24"/>
          <w:szCs w:val="24"/>
        </w:rPr>
        <w:t>Highlight gaps in existing research and data.</w:t>
      </w:r>
    </w:p>
    <w:p w14:paraId="37CE596B">
      <w:pPr>
        <w:pStyle w:val="22"/>
        <w:numPr>
          <w:ilvl w:val="0"/>
          <w:numId w:val="1"/>
        </w:numPr>
        <w:jc w:val="both"/>
        <w:rPr>
          <w:sz w:val="24"/>
          <w:szCs w:val="24"/>
        </w:rPr>
      </w:pPr>
      <w:r>
        <w:rPr>
          <w:sz w:val="24"/>
          <w:szCs w:val="24"/>
        </w:rPr>
        <w:t>Report preparation:</w:t>
      </w:r>
    </w:p>
    <w:p w14:paraId="369E23E3">
      <w:pPr>
        <w:pStyle w:val="22"/>
        <w:numPr>
          <w:ilvl w:val="0"/>
          <w:numId w:val="5"/>
        </w:numPr>
        <w:jc w:val="both"/>
        <w:rPr>
          <w:sz w:val="24"/>
          <w:szCs w:val="24"/>
        </w:rPr>
      </w:pPr>
      <w:r>
        <w:rPr>
          <w:sz w:val="24"/>
          <w:szCs w:val="24"/>
        </w:rPr>
        <w:t>Develop a comprehensive report detailing the findings and implications.</w:t>
      </w:r>
    </w:p>
    <w:p w14:paraId="41AACF63">
      <w:pPr>
        <w:pStyle w:val="22"/>
        <w:numPr>
          <w:ilvl w:val="0"/>
          <w:numId w:val="5"/>
        </w:numPr>
        <w:jc w:val="both"/>
        <w:rPr>
          <w:sz w:val="24"/>
          <w:szCs w:val="24"/>
        </w:rPr>
      </w:pPr>
      <w:r>
        <w:rPr>
          <w:sz w:val="24"/>
          <w:szCs w:val="24"/>
        </w:rPr>
        <w:t>Include recommendations for policy changes, safer sustainable agricultural practices, and protective measures for women and children.</w:t>
      </w:r>
    </w:p>
    <w:p w14:paraId="4DECC569">
      <w:pPr>
        <w:pStyle w:val="22"/>
        <w:numPr>
          <w:ilvl w:val="0"/>
          <w:numId w:val="1"/>
        </w:numPr>
        <w:jc w:val="both"/>
        <w:rPr>
          <w:sz w:val="24"/>
          <w:szCs w:val="24"/>
        </w:rPr>
      </w:pPr>
      <w:r>
        <w:rPr>
          <w:sz w:val="24"/>
          <w:szCs w:val="24"/>
        </w:rPr>
        <w:t>Findings presentation:</w:t>
      </w:r>
    </w:p>
    <w:p w14:paraId="5B59D180">
      <w:pPr>
        <w:pStyle w:val="22"/>
        <w:numPr>
          <w:ilvl w:val="0"/>
          <w:numId w:val="6"/>
        </w:numPr>
        <w:jc w:val="both"/>
        <w:rPr>
          <w:sz w:val="24"/>
          <w:szCs w:val="24"/>
        </w:rPr>
      </w:pPr>
      <w:r>
        <w:rPr>
          <w:sz w:val="24"/>
          <w:szCs w:val="24"/>
        </w:rPr>
        <w:t>Prepare and present key findings and recommendation to a stakeholders forum.</w:t>
      </w:r>
    </w:p>
    <w:p w14:paraId="74CD5394">
      <w:pPr>
        <w:pStyle w:val="22"/>
        <w:numPr>
          <w:ilvl w:val="0"/>
          <w:numId w:val="6"/>
        </w:numPr>
        <w:jc w:val="both"/>
        <w:rPr>
          <w:sz w:val="24"/>
          <w:szCs w:val="24"/>
        </w:rPr>
      </w:pPr>
      <w:r>
        <w:rPr>
          <w:sz w:val="24"/>
          <w:szCs w:val="24"/>
        </w:rPr>
        <w:t>Findings dissemination strategy recommendations.</w:t>
      </w:r>
    </w:p>
    <w:p w14:paraId="4514D0D8">
      <w:pPr>
        <w:widowControl/>
        <w:autoSpaceDE/>
        <w:autoSpaceDN/>
        <w:ind w:left="720"/>
        <w:jc w:val="both"/>
        <w:rPr>
          <w:szCs w:val="24"/>
        </w:rPr>
      </w:pPr>
    </w:p>
    <w:p w14:paraId="04B0CCE2">
      <w:pPr>
        <w:pStyle w:val="2"/>
        <w:numPr>
          <w:ilvl w:val="0"/>
          <w:numId w:val="1"/>
        </w:numPr>
        <w:shd w:val="clear" w:color="auto" w:fill="C7DAF1"/>
        <w:tabs>
          <w:tab w:val="left" w:pos="477"/>
        </w:tabs>
        <w:spacing w:after="240"/>
        <w:jc w:val="both"/>
      </w:pPr>
      <w:r>
        <w:t>SPECIFIC TASKS AND KEY DELIVERABLES FOR THE CONSULTANT</w:t>
      </w:r>
    </w:p>
    <w:p w14:paraId="2879AA06">
      <w:pPr>
        <w:widowControl/>
        <w:numPr>
          <w:ilvl w:val="0"/>
          <w:numId w:val="7"/>
        </w:numPr>
        <w:autoSpaceDE/>
        <w:autoSpaceDN/>
        <w:spacing w:before="100" w:beforeAutospacing="1" w:after="100" w:afterAutospacing="1"/>
        <w:rPr>
          <w:szCs w:val="24"/>
        </w:rPr>
      </w:pPr>
      <w:r>
        <w:rPr>
          <w:szCs w:val="24"/>
        </w:rPr>
        <w:t>Comprehensive literature review report.</w:t>
      </w:r>
    </w:p>
    <w:p w14:paraId="785B2992">
      <w:pPr>
        <w:widowControl/>
        <w:numPr>
          <w:ilvl w:val="0"/>
          <w:numId w:val="7"/>
        </w:numPr>
        <w:autoSpaceDE/>
        <w:autoSpaceDN/>
        <w:spacing w:before="100" w:beforeAutospacing="1" w:after="100" w:afterAutospacing="1"/>
        <w:rPr>
          <w:szCs w:val="24"/>
        </w:rPr>
      </w:pPr>
      <w:r>
        <w:rPr>
          <w:szCs w:val="24"/>
        </w:rPr>
        <w:t>Study key findings and recommendations</w:t>
      </w:r>
    </w:p>
    <w:p w14:paraId="47DCD9CC">
      <w:pPr>
        <w:widowControl/>
        <w:numPr>
          <w:ilvl w:val="0"/>
          <w:numId w:val="7"/>
        </w:numPr>
        <w:autoSpaceDE/>
        <w:autoSpaceDN/>
        <w:spacing w:before="100" w:beforeAutospacing="1" w:after="100" w:afterAutospacing="1"/>
        <w:rPr>
          <w:szCs w:val="24"/>
        </w:rPr>
      </w:pPr>
      <w:r>
        <w:rPr>
          <w:szCs w:val="24"/>
        </w:rPr>
        <w:t>Findings Presentation during stakeholders forum</w:t>
      </w:r>
    </w:p>
    <w:p w14:paraId="5C766418">
      <w:pPr>
        <w:widowControl/>
        <w:numPr>
          <w:ilvl w:val="0"/>
          <w:numId w:val="7"/>
        </w:numPr>
        <w:autoSpaceDE/>
        <w:autoSpaceDN/>
        <w:spacing w:before="100" w:beforeAutospacing="1" w:after="100" w:afterAutospacing="1"/>
        <w:rPr>
          <w:szCs w:val="24"/>
        </w:rPr>
      </w:pPr>
      <w:r>
        <w:rPr>
          <w:szCs w:val="24"/>
        </w:rPr>
        <w:t xml:space="preserve">Findings dissemination strategies recommendations. </w:t>
      </w:r>
    </w:p>
    <w:p w14:paraId="297061F1">
      <w:pPr>
        <w:pStyle w:val="2"/>
        <w:numPr>
          <w:ilvl w:val="0"/>
          <w:numId w:val="1"/>
        </w:numPr>
        <w:shd w:val="clear" w:color="auto" w:fill="C7DAF1"/>
        <w:tabs>
          <w:tab w:val="left" w:pos="477"/>
        </w:tabs>
        <w:spacing w:before="245"/>
        <w:jc w:val="both"/>
      </w:pPr>
      <w:r>
        <w:t>CONSULTANTS QUALIFICATION</w:t>
      </w:r>
    </w:p>
    <w:p w14:paraId="105926C2">
      <w:pPr>
        <w:ind w:left="120"/>
        <w:jc w:val="both"/>
        <w:rPr>
          <w:color w:val="000000"/>
          <w:sz w:val="24"/>
          <w:szCs w:val="24"/>
        </w:rPr>
      </w:pPr>
      <w:r>
        <w:rPr>
          <w:color w:val="000000"/>
          <w:sz w:val="24"/>
          <w:szCs w:val="24"/>
        </w:rPr>
        <w:t xml:space="preserve">To undertake this task, BIBA Kenya, is looking for a qualified, competent and experienced professional consultant. </w:t>
      </w:r>
    </w:p>
    <w:p w14:paraId="32D6772C">
      <w:pPr>
        <w:ind w:left="120"/>
        <w:jc w:val="both"/>
        <w:rPr>
          <w:color w:val="000000"/>
          <w:sz w:val="24"/>
          <w:szCs w:val="24"/>
        </w:rPr>
      </w:pPr>
      <w:r>
        <w:rPr>
          <w:color w:val="000000"/>
          <w:sz w:val="24"/>
          <w:szCs w:val="24"/>
        </w:rPr>
        <w:t>Key consideration include:</w:t>
      </w:r>
    </w:p>
    <w:p w14:paraId="24C25720">
      <w:pPr>
        <w:pStyle w:val="22"/>
        <w:numPr>
          <w:ilvl w:val="0"/>
          <w:numId w:val="8"/>
        </w:numPr>
        <w:tabs>
          <w:tab w:val="left" w:pos="480"/>
        </w:tabs>
        <w:ind w:right="112"/>
        <w:jc w:val="both"/>
        <w:rPr>
          <w:color w:val="000000"/>
          <w:sz w:val="24"/>
          <w:szCs w:val="24"/>
        </w:rPr>
      </w:pPr>
      <w:r>
        <w:rPr>
          <w:color w:val="000000"/>
          <w:sz w:val="24"/>
          <w:szCs w:val="24"/>
        </w:rPr>
        <w:t>At least a master’s degree in public health, environmental science or a related field</w:t>
      </w:r>
    </w:p>
    <w:p w14:paraId="5A0DBEBD">
      <w:pPr>
        <w:pStyle w:val="22"/>
        <w:numPr>
          <w:ilvl w:val="0"/>
          <w:numId w:val="8"/>
        </w:numPr>
        <w:tabs>
          <w:tab w:val="left" w:pos="479"/>
        </w:tabs>
        <w:jc w:val="both"/>
        <w:rPr>
          <w:sz w:val="24"/>
          <w:szCs w:val="24"/>
        </w:rPr>
      </w:pPr>
      <w:r>
        <w:rPr>
          <w:sz w:val="24"/>
          <w:szCs w:val="24"/>
        </w:rPr>
        <w:t>Proven</w:t>
      </w:r>
      <w:r>
        <w:rPr>
          <w:spacing w:val="-3"/>
          <w:sz w:val="24"/>
          <w:szCs w:val="24"/>
        </w:rPr>
        <w:t xml:space="preserve"> </w:t>
      </w:r>
      <w:r>
        <w:rPr>
          <w:sz w:val="24"/>
          <w:szCs w:val="24"/>
        </w:rPr>
        <w:t>in-depth</w:t>
      </w:r>
      <w:r>
        <w:rPr>
          <w:spacing w:val="-1"/>
          <w:sz w:val="24"/>
          <w:szCs w:val="24"/>
        </w:rPr>
        <w:t xml:space="preserve"> </w:t>
      </w:r>
      <w:r>
        <w:rPr>
          <w:sz w:val="24"/>
          <w:szCs w:val="24"/>
        </w:rPr>
        <w:t>understanding</w:t>
      </w:r>
      <w:r>
        <w:rPr>
          <w:spacing w:val="-3"/>
          <w:sz w:val="24"/>
          <w:szCs w:val="24"/>
        </w:rPr>
        <w:t xml:space="preserve"> </w:t>
      </w:r>
      <w:r>
        <w:rPr>
          <w:sz w:val="24"/>
          <w:szCs w:val="24"/>
        </w:rPr>
        <w:t>and consulting</w:t>
      </w:r>
      <w:r>
        <w:rPr>
          <w:spacing w:val="-3"/>
          <w:sz w:val="24"/>
          <w:szCs w:val="24"/>
        </w:rPr>
        <w:t xml:space="preserve"> </w:t>
      </w:r>
      <w:r>
        <w:rPr>
          <w:sz w:val="24"/>
          <w:szCs w:val="24"/>
        </w:rPr>
        <w:t>experiences</w:t>
      </w:r>
      <w:r>
        <w:rPr>
          <w:spacing w:val="1"/>
          <w:sz w:val="24"/>
          <w:szCs w:val="24"/>
        </w:rPr>
        <w:t xml:space="preserve"> </w:t>
      </w:r>
      <w:r>
        <w:rPr>
          <w:sz w:val="24"/>
          <w:szCs w:val="24"/>
        </w:rPr>
        <w:t>in</w:t>
      </w:r>
      <w:r>
        <w:rPr>
          <w:spacing w:val="-1"/>
          <w:sz w:val="24"/>
          <w:szCs w:val="24"/>
        </w:rPr>
        <w:t xml:space="preserve"> </w:t>
      </w:r>
      <w:r>
        <w:rPr>
          <w:sz w:val="24"/>
          <w:szCs w:val="24"/>
        </w:rPr>
        <w:t>conducting</w:t>
      </w:r>
      <w:r>
        <w:rPr>
          <w:spacing w:val="-3"/>
          <w:sz w:val="24"/>
          <w:szCs w:val="24"/>
        </w:rPr>
        <w:t xml:space="preserve"> </w:t>
      </w:r>
      <w:r>
        <w:rPr>
          <w:sz w:val="24"/>
          <w:szCs w:val="24"/>
        </w:rPr>
        <w:t>similar research and or studies</w:t>
      </w:r>
    </w:p>
    <w:p w14:paraId="5E1B6DB6">
      <w:pPr>
        <w:numPr>
          <w:ilvl w:val="0"/>
          <w:numId w:val="8"/>
        </w:numPr>
        <w:tabs>
          <w:tab w:val="left" w:pos="480"/>
        </w:tabs>
        <w:ind w:right="112"/>
        <w:jc w:val="both"/>
        <w:rPr>
          <w:color w:val="000000"/>
          <w:sz w:val="24"/>
          <w:szCs w:val="24"/>
        </w:rPr>
      </w:pPr>
      <w:r>
        <w:rPr>
          <w:color w:val="000000"/>
          <w:sz w:val="24"/>
          <w:szCs w:val="24"/>
        </w:rPr>
        <w:t>Strong facilitation and stakeholder engagement skills.</w:t>
      </w:r>
    </w:p>
    <w:p w14:paraId="4EB5634F">
      <w:pPr>
        <w:numPr>
          <w:ilvl w:val="0"/>
          <w:numId w:val="8"/>
        </w:numPr>
        <w:tabs>
          <w:tab w:val="left" w:pos="480"/>
        </w:tabs>
        <w:ind w:right="112"/>
        <w:jc w:val="both"/>
        <w:rPr>
          <w:color w:val="000000"/>
          <w:sz w:val="24"/>
          <w:szCs w:val="24"/>
        </w:rPr>
      </w:pPr>
      <w:r>
        <w:rPr>
          <w:color w:val="000000"/>
          <w:sz w:val="24"/>
          <w:szCs w:val="24"/>
        </w:rPr>
        <w:t>Excellent analytical, writing, and great report writing skills.</w:t>
      </w:r>
    </w:p>
    <w:p w14:paraId="52242C93">
      <w:pPr>
        <w:spacing w:before="10"/>
        <w:jc w:val="both"/>
        <w:rPr>
          <w:color w:val="000000"/>
          <w:sz w:val="24"/>
          <w:szCs w:val="24"/>
        </w:rPr>
      </w:pPr>
    </w:p>
    <w:p w14:paraId="7906CA57">
      <w:pPr>
        <w:pStyle w:val="2"/>
        <w:numPr>
          <w:ilvl w:val="0"/>
          <w:numId w:val="1"/>
        </w:numPr>
        <w:shd w:val="clear" w:color="auto" w:fill="C7DAF1"/>
        <w:tabs>
          <w:tab w:val="left" w:pos="477"/>
        </w:tabs>
        <w:jc w:val="both"/>
      </w:pPr>
      <w:r>
        <w:t>TASK TIMELINE</w:t>
      </w:r>
    </w:p>
    <w:p w14:paraId="3B6B7EA5">
      <w:pPr>
        <w:ind w:left="477"/>
        <w:jc w:val="both"/>
        <w:rPr>
          <w:sz w:val="24"/>
          <w:szCs w:val="24"/>
        </w:rPr>
      </w:pPr>
    </w:p>
    <w:p w14:paraId="6D728187">
      <w:pPr>
        <w:ind w:left="477"/>
        <w:jc w:val="both"/>
        <w:rPr>
          <w:sz w:val="24"/>
          <w:szCs w:val="24"/>
        </w:rPr>
      </w:pPr>
      <w:r>
        <w:rPr>
          <w:sz w:val="24"/>
          <w:szCs w:val="24"/>
        </w:rPr>
        <w:t>•</w:t>
      </w:r>
      <w:r>
        <w:rPr>
          <w:sz w:val="24"/>
          <w:szCs w:val="24"/>
        </w:rPr>
        <w:tab/>
      </w:r>
      <w:r>
        <w:rPr>
          <w:sz w:val="24"/>
          <w:szCs w:val="24"/>
        </w:rPr>
        <w:t>Literature Review: 4 weeks</w:t>
      </w:r>
    </w:p>
    <w:p w14:paraId="4F16ADB3">
      <w:pPr>
        <w:ind w:left="477"/>
        <w:jc w:val="both"/>
        <w:rPr>
          <w:sz w:val="24"/>
          <w:szCs w:val="24"/>
        </w:rPr>
      </w:pPr>
      <w:r>
        <w:rPr>
          <w:sz w:val="24"/>
          <w:szCs w:val="24"/>
        </w:rPr>
        <w:t>•</w:t>
      </w:r>
      <w:r>
        <w:rPr>
          <w:sz w:val="24"/>
          <w:szCs w:val="24"/>
        </w:rPr>
        <w:tab/>
      </w:r>
      <w:r>
        <w:rPr>
          <w:sz w:val="24"/>
          <w:szCs w:val="24"/>
        </w:rPr>
        <w:t>Data Analysis and Report Preparation: 3 weeks</w:t>
      </w:r>
    </w:p>
    <w:p w14:paraId="2172DB67">
      <w:pPr>
        <w:ind w:left="477"/>
        <w:jc w:val="both"/>
        <w:rPr>
          <w:sz w:val="24"/>
          <w:szCs w:val="24"/>
        </w:rPr>
      </w:pPr>
      <w:r>
        <w:rPr>
          <w:sz w:val="24"/>
          <w:szCs w:val="24"/>
        </w:rPr>
        <w:t>•</w:t>
      </w:r>
      <w:r>
        <w:rPr>
          <w:sz w:val="24"/>
          <w:szCs w:val="24"/>
        </w:rPr>
        <w:tab/>
      </w:r>
      <w:r>
        <w:rPr>
          <w:sz w:val="24"/>
          <w:szCs w:val="24"/>
        </w:rPr>
        <w:t>Zero draft submission and inputs incorporation: 2 weeks</w:t>
      </w:r>
    </w:p>
    <w:p w14:paraId="2649D265">
      <w:pPr>
        <w:ind w:left="477"/>
        <w:jc w:val="both"/>
        <w:rPr>
          <w:sz w:val="24"/>
          <w:szCs w:val="24"/>
        </w:rPr>
      </w:pPr>
      <w:r>
        <w:rPr>
          <w:sz w:val="24"/>
          <w:szCs w:val="24"/>
        </w:rPr>
        <w:t>•</w:t>
      </w:r>
      <w:r>
        <w:rPr>
          <w:sz w:val="24"/>
          <w:szCs w:val="24"/>
        </w:rPr>
        <w:tab/>
      </w:r>
      <w:r>
        <w:rPr>
          <w:sz w:val="24"/>
          <w:szCs w:val="24"/>
        </w:rPr>
        <w:t>Final Deliverables, stakeholder forum presentation and final Submission: 1 week</w:t>
      </w:r>
    </w:p>
    <w:p w14:paraId="64B475D7">
      <w:pPr>
        <w:spacing w:before="43"/>
        <w:jc w:val="both"/>
        <w:rPr>
          <w:color w:val="000000"/>
          <w:sz w:val="24"/>
          <w:szCs w:val="24"/>
        </w:rPr>
      </w:pPr>
    </w:p>
    <w:p w14:paraId="79E592E1">
      <w:pPr>
        <w:pStyle w:val="2"/>
        <w:numPr>
          <w:ilvl w:val="0"/>
          <w:numId w:val="1"/>
        </w:numPr>
        <w:shd w:val="clear" w:color="auto" w:fill="C7DAF1"/>
        <w:tabs>
          <w:tab w:val="left" w:pos="480"/>
        </w:tabs>
        <w:ind w:left="480" w:hanging="360"/>
        <w:jc w:val="both"/>
      </w:pPr>
      <w:r>
        <w:t>APPLICATION PROCESS:</w:t>
      </w:r>
    </w:p>
    <w:p w14:paraId="5ED5B3BF">
      <w:pPr>
        <w:ind w:left="120" w:right="46"/>
        <w:jc w:val="both"/>
        <w:rPr>
          <w:sz w:val="24"/>
          <w:szCs w:val="24"/>
        </w:rPr>
      </w:pPr>
      <w:r>
        <w:rPr>
          <w:sz w:val="24"/>
          <w:szCs w:val="24"/>
        </w:rPr>
        <w:t xml:space="preserve">Completed proposals should include: </w:t>
      </w:r>
    </w:p>
    <w:p w14:paraId="43452BBE">
      <w:pPr>
        <w:numPr>
          <w:ilvl w:val="0"/>
          <w:numId w:val="9"/>
        </w:numPr>
        <w:ind w:right="46" w:hanging="360"/>
        <w:jc w:val="both"/>
        <w:rPr>
          <w:sz w:val="24"/>
          <w:szCs w:val="24"/>
        </w:rPr>
      </w:pPr>
      <w:r>
        <w:rPr>
          <w:sz w:val="24"/>
          <w:szCs w:val="24"/>
        </w:rPr>
        <w:t xml:space="preserve">A </w:t>
      </w:r>
      <w:r>
        <w:rPr>
          <w:b/>
          <w:sz w:val="24"/>
          <w:szCs w:val="24"/>
        </w:rPr>
        <w:t>cover Letter</w:t>
      </w:r>
      <w:r>
        <w:rPr>
          <w:sz w:val="24"/>
          <w:szCs w:val="24"/>
        </w:rPr>
        <w:t xml:space="preserve"> expressing interest and availability for the tasks </w:t>
      </w:r>
    </w:p>
    <w:p w14:paraId="049E9604">
      <w:pPr>
        <w:numPr>
          <w:ilvl w:val="0"/>
          <w:numId w:val="9"/>
        </w:numPr>
        <w:ind w:right="46" w:hanging="360"/>
        <w:jc w:val="both"/>
        <w:rPr>
          <w:sz w:val="24"/>
          <w:szCs w:val="24"/>
        </w:rPr>
      </w:pPr>
      <w:r>
        <w:rPr>
          <w:sz w:val="24"/>
          <w:szCs w:val="24"/>
        </w:rPr>
        <w:t>Technical proposal indicating his/her understanding of the assignment, proposed methodology for conducting the assignment and work plan.</w:t>
      </w:r>
    </w:p>
    <w:p w14:paraId="60C5D1AF">
      <w:pPr>
        <w:numPr>
          <w:ilvl w:val="0"/>
          <w:numId w:val="9"/>
        </w:numPr>
        <w:ind w:right="46" w:hanging="360"/>
        <w:jc w:val="both"/>
        <w:rPr>
          <w:sz w:val="24"/>
          <w:szCs w:val="24"/>
        </w:rPr>
      </w:pPr>
      <w:r>
        <w:rPr>
          <w:sz w:val="24"/>
          <w:szCs w:val="24"/>
        </w:rPr>
        <w:t xml:space="preserve">Financial proposal showing the total cost of conducting the assignment including the breakdown of all the consultancy costs </w:t>
      </w:r>
    </w:p>
    <w:p w14:paraId="1B994F49">
      <w:pPr>
        <w:numPr>
          <w:ilvl w:val="0"/>
          <w:numId w:val="9"/>
        </w:numPr>
        <w:ind w:right="46" w:hanging="360"/>
        <w:jc w:val="both"/>
        <w:rPr>
          <w:sz w:val="24"/>
          <w:szCs w:val="24"/>
        </w:rPr>
      </w:pPr>
      <w:r>
        <w:rPr>
          <w:sz w:val="24"/>
          <w:szCs w:val="24"/>
        </w:rPr>
        <w:t>The terms for payments in terms of percentages in order to carry out the exercise.</w:t>
      </w:r>
    </w:p>
    <w:p w14:paraId="5E404AEC">
      <w:pPr>
        <w:numPr>
          <w:ilvl w:val="0"/>
          <w:numId w:val="9"/>
        </w:numPr>
        <w:ind w:right="46" w:hanging="360"/>
        <w:jc w:val="both"/>
        <w:rPr>
          <w:sz w:val="24"/>
          <w:szCs w:val="24"/>
        </w:rPr>
      </w:pPr>
      <w:r>
        <w:rPr>
          <w:sz w:val="24"/>
          <w:szCs w:val="24"/>
        </w:rPr>
        <w:t>A list of possible documents for review</w:t>
      </w:r>
    </w:p>
    <w:p w14:paraId="08772DA0">
      <w:pPr>
        <w:numPr>
          <w:ilvl w:val="0"/>
          <w:numId w:val="9"/>
        </w:numPr>
        <w:ind w:right="46" w:hanging="360"/>
        <w:jc w:val="both"/>
        <w:rPr>
          <w:sz w:val="24"/>
          <w:szCs w:val="24"/>
        </w:rPr>
      </w:pPr>
      <w:r>
        <w:rPr>
          <w:sz w:val="24"/>
          <w:szCs w:val="24"/>
        </w:rPr>
        <w:t>At least two reports of a similar assignment conducted elsewhere.</w:t>
      </w:r>
    </w:p>
    <w:p w14:paraId="4A739BD4">
      <w:pPr>
        <w:numPr>
          <w:ilvl w:val="0"/>
          <w:numId w:val="9"/>
        </w:numPr>
        <w:ind w:right="46" w:hanging="360"/>
        <w:jc w:val="both"/>
        <w:rPr>
          <w:sz w:val="24"/>
          <w:szCs w:val="24"/>
        </w:rPr>
      </w:pPr>
      <w:r>
        <w:rPr>
          <w:sz w:val="24"/>
          <w:szCs w:val="24"/>
        </w:rPr>
        <w:t>Detailed curriculum vitae of the consultant with relevant university certificates and relevant supporting documents and testimonials.</w:t>
      </w:r>
    </w:p>
    <w:p w14:paraId="7010AB19">
      <w:pPr>
        <w:numPr>
          <w:ilvl w:val="0"/>
          <w:numId w:val="9"/>
        </w:numPr>
        <w:ind w:right="46" w:hanging="360"/>
        <w:jc w:val="both"/>
        <w:rPr>
          <w:sz w:val="24"/>
          <w:szCs w:val="24"/>
        </w:rPr>
      </w:pPr>
      <w:r>
        <w:rPr>
          <w:sz w:val="24"/>
          <w:szCs w:val="24"/>
        </w:rPr>
        <w:t>Names and contacts of two referees (phone numbers and email)</w:t>
      </w:r>
    </w:p>
    <w:p w14:paraId="6454AA41">
      <w:pPr>
        <w:jc w:val="both"/>
        <w:rPr>
          <w:color w:val="000000"/>
          <w:sz w:val="24"/>
          <w:szCs w:val="24"/>
        </w:rPr>
      </w:pPr>
    </w:p>
    <w:p w14:paraId="48421EC7">
      <w:pPr>
        <w:ind w:left="120" w:right="113"/>
        <w:jc w:val="both"/>
        <w:rPr>
          <w:color w:val="000000"/>
          <w:sz w:val="24"/>
          <w:szCs w:val="24"/>
        </w:rPr>
      </w:pPr>
      <w:r>
        <w:rPr>
          <w:color w:val="000000"/>
          <w:sz w:val="24"/>
          <w:szCs w:val="24"/>
        </w:rPr>
        <w:t xml:space="preserve">Interested and qualified consultant (s) or firms should send their application through </w:t>
      </w:r>
      <w:r>
        <w:fldChar w:fldCharType="begin"/>
      </w:r>
      <w:r>
        <w:instrText xml:space="preserve"> HYPERLINK "mailto:info@bibakenya.org" \h </w:instrText>
      </w:r>
      <w:r>
        <w:fldChar w:fldCharType="separate"/>
      </w:r>
      <w:r>
        <w:rPr>
          <w:color w:val="0000FF"/>
          <w:sz w:val="24"/>
          <w:szCs w:val="24"/>
          <w:u w:val="single"/>
        </w:rPr>
        <w:t>info@bibakenya.org</w:t>
      </w:r>
      <w:r>
        <w:rPr>
          <w:color w:val="0000FF"/>
          <w:sz w:val="24"/>
          <w:szCs w:val="24"/>
          <w:u w:val="single"/>
        </w:rPr>
        <w:fldChar w:fldCharType="end"/>
      </w:r>
      <w:r>
        <w:rPr>
          <w:color w:val="000000"/>
          <w:sz w:val="24"/>
          <w:szCs w:val="24"/>
        </w:rPr>
        <w:t xml:space="preserve"> and cc </w:t>
      </w:r>
      <w:r>
        <w:fldChar w:fldCharType="begin"/>
      </w:r>
      <w:r>
        <w:instrText xml:space="preserve"> HYPERLINK "mailto:kendi.juster@bibakenya.org" \h </w:instrText>
      </w:r>
      <w:r>
        <w:fldChar w:fldCharType="separate"/>
      </w:r>
      <w:r>
        <w:rPr>
          <w:color w:val="0000FF"/>
          <w:sz w:val="24"/>
          <w:szCs w:val="24"/>
          <w:u w:val="single"/>
        </w:rPr>
        <w:t>kendi.juster@bibakenya.org</w:t>
      </w:r>
      <w:r>
        <w:rPr>
          <w:color w:val="0000FF"/>
          <w:sz w:val="24"/>
          <w:szCs w:val="24"/>
          <w:u w:val="single"/>
        </w:rPr>
        <w:fldChar w:fldCharType="end"/>
      </w:r>
      <w:r>
        <w:rPr>
          <w:color w:val="000000"/>
          <w:sz w:val="24"/>
          <w:szCs w:val="24"/>
        </w:rPr>
        <w:t xml:space="preserve"> and </w:t>
      </w:r>
      <w:r>
        <w:fldChar w:fldCharType="begin"/>
      </w:r>
      <w:r>
        <w:instrText xml:space="preserve"> HYPERLINK "mailto:anne.maina@bibakenya.org" \h </w:instrText>
      </w:r>
      <w:r>
        <w:fldChar w:fldCharType="separate"/>
      </w:r>
      <w:r>
        <w:rPr>
          <w:color w:val="0000FF"/>
          <w:sz w:val="24"/>
          <w:szCs w:val="24"/>
          <w:u w:val="single"/>
        </w:rPr>
        <w:t>anne.maina@bibakenya.org</w:t>
      </w:r>
      <w:r>
        <w:rPr>
          <w:color w:val="0000FF"/>
          <w:sz w:val="24"/>
          <w:szCs w:val="24"/>
          <w:u w:val="single"/>
        </w:rPr>
        <w:fldChar w:fldCharType="end"/>
      </w:r>
      <w:r>
        <w:rPr>
          <w:color w:val="000000"/>
          <w:sz w:val="24"/>
          <w:szCs w:val="24"/>
        </w:rPr>
        <w:t xml:space="preserve"> with the subject heading: </w:t>
      </w:r>
      <w:r>
        <w:rPr>
          <w:b/>
          <w:color w:val="000000"/>
          <w:sz w:val="24"/>
          <w:szCs w:val="24"/>
        </w:rPr>
        <w:t>Consultancy_ Study on the effects of toxic pesticides on women and children health_202_5</w:t>
      </w:r>
      <w:r>
        <w:rPr>
          <w:color w:val="000000"/>
          <w:sz w:val="24"/>
          <w:szCs w:val="24"/>
        </w:rPr>
        <w:t xml:space="preserve"> </w:t>
      </w:r>
    </w:p>
    <w:p w14:paraId="2D00431D">
      <w:pPr>
        <w:ind w:left="120"/>
        <w:jc w:val="both"/>
        <w:rPr>
          <w:color w:val="000000"/>
          <w:sz w:val="24"/>
          <w:szCs w:val="24"/>
        </w:rPr>
      </w:pPr>
      <w:r>
        <w:rPr>
          <w:color w:val="000000"/>
          <w:sz w:val="24"/>
          <w:szCs w:val="24"/>
        </w:rPr>
        <w:t xml:space="preserve">The closing date for application is </w:t>
      </w:r>
      <w:r>
        <w:rPr>
          <w:rFonts w:hint="default"/>
          <w:color w:val="000000"/>
          <w:sz w:val="24"/>
          <w:szCs w:val="24"/>
          <w:lang w:val="en-US"/>
        </w:rPr>
        <w:t>11</w:t>
      </w:r>
      <w:r>
        <w:rPr>
          <w:b/>
          <w:bCs/>
          <w:color w:val="000000"/>
          <w:sz w:val="24"/>
          <w:szCs w:val="24"/>
          <w:vertAlign w:val="superscript"/>
        </w:rPr>
        <w:t>t</w:t>
      </w:r>
      <w:r>
        <w:rPr>
          <w:b/>
          <w:color w:val="000000"/>
          <w:sz w:val="24"/>
          <w:szCs w:val="24"/>
          <w:vertAlign w:val="superscript"/>
        </w:rPr>
        <w:t>h</w:t>
      </w:r>
      <w:r>
        <w:rPr>
          <w:b/>
          <w:color w:val="000000"/>
          <w:sz w:val="24"/>
          <w:szCs w:val="24"/>
        </w:rPr>
        <w:t xml:space="preserve"> April 2025.</w:t>
      </w:r>
      <w:r>
        <w:rPr>
          <w:color w:val="000000"/>
          <w:sz w:val="24"/>
          <w:szCs w:val="24"/>
        </w:rPr>
        <w:t xml:space="preserve"> Only shortlisted ca</w:t>
      </w:r>
      <w:bookmarkStart w:id="1" w:name="_GoBack"/>
      <w:bookmarkEnd w:id="1"/>
      <w:r>
        <w:rPr>
          <w:color w:val="000000"/>
          <w:sz w:val="24"/>
          <w:szCs w:val="24"/>
        </w:rPr>
        <w:t>ndidates will be contacted</w:t>
      </w:r>
      <w:sdt>
        <w:sdtPr>
          <w:tag w:val="goog_rdk_64"/>
          <w:id w:val="147455202"/>
        </w:sdtPr>
        <w:sdtContent>
          <w:r>
            <w:rPr>
              <w:color w:val="000000"/>
              <w:sz w:val="24"/>
              <w:szCs w:val="24"/>
            </w:rPr>
            <w:t>.</w:t>
          </w:r>
        </w:sdtContent>
      </w:sdt>
    </w:p>
    <w:sectPr>
      <w:footerReference r:id="rId3" w:type="default"/>
      <w:pgSz w:w="11910" w:h="16840"/>
      <w:pgMar w:top="620" w:right="600" w:bottom="1200" w:left="600" w:header="0" w:footer="93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6F0D">
    <w:pPr>
      <w:spacing w:line="14" w:lineRule="auto"/>
      <w:rPr>
        <w:color w:val="000000"/>
        <w:sz w:val="20"/>
        <w:szCs w:val="20"/>
      </w:rPr>
    </w:pPr>
    <w:r>
      <mc:AlternateContent>
        <mc:Choice Requires="wps">
          <w:drawing>
            <wp:anchor distT="0" distB="0" distL="0" distR="0" simplePos="0" relativeHeight="251659264" behindDoc="1" locked="0" layoutInCell="1" allowOverlap="1">
              <wp:simplePos x="0" y="0"/>
              <wp:positionH relativeFrom="column">
                <wp:posOffset>3314700</wp:posOffset>
              </wp:positionH>
              <wp:positionV relativeFrom="paragraph">
                <wp:posOffset>9906000</wp:posOffset>
              </wp:positionV>
              <wp:extent cx="180975" cy="217805"/>
              <wp:effectExtent l="0" t="0" r="0" b="0"/>
              <wp:wrapNone/>
              <wp:docPr id="112" name="Rectangles 112"/>
              <wp:cNvGraphicFramePr/>
              <a:graphic xmlns:a="http://schemas.openxmlformats.org/drawingml/2006/main">
                <a:graphicData uri="http://schemas.microsoft.com/office/word/2010/wordprocessingShape">
                  <wps:wsp>
                    <wps:cNvSpPr/>
                    <wps:spPr>
                      <a:xfrm>
                        <a:off x="5260275" y="3675861"/>
                        <a:ext cx="171450" cy="208279"/>
                      </a:xfrm>
                      <a:prstGeom prst="rect">
                        <a:avLst/>
                      </a:prstGeom>
                      <a:noFill/>
                      <a:ln>
                        <a:noFill/>
                      </a:ln>
                    </wps:spPr>
                    <wps:txbx>
                      <w:txbxContent>
                        <w:p w14:paraId="7A86F63E">
                          <w:pPr>
                            <w:spacing w:before="8"/>
                            <w:ind w:left="60" w:firstLine="60"/>
                          </w:pPr>
                          <w:r>
                            <w:rPr>
                              <w:color w:val="000000"/>
                              <w:sz w:val="26"/>
                            </w:rPr>
                            <w:t xml:space="preserve"> PAGE 2</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261pt;margin-top:780pt;height:17.15pt;width:14.25pt;z-index:-251657216;mso-width-relative:page;mso-height-relative:page;" filled="f" stroked="f" coordsize="21600,21600" o:gfxdata="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pHoptwAAAAN&#10;AQAADwAAAAAAAAABACAAAAAiAAAAZHJzL2Rvd25yZXYueG1sUEsBAhQAFAAAAAgAh07iQA0xAj/f&#10;AQAAwgMAAA4AAAAAAAAAAQAgAAAAKwEAAGRycy9lMm9Eb2MueG1sUEsFBgAAAAAGAAYAWQEAAHwF&#10;AAAAAA==&#10;">
              <v:fill on="f" focussize="0,0"/>
              <v:stroke on="f"/>
              <v:imagedata o:title=""/>
              <o:lock v:ext="edit" aspectratio="f"/>
              <v:textbox inset="0mm,0mm,0mm,0mm">
                <w:txbxContent>
                  <w:p w14:paraId="7A86F63E">
                    <w:pPr>
                      <w:spacing w:before="8"/>
                      <w:ind w:left="60" w:firstLine="60"/>
                    </w:pPr>
                    <w:r>
                      <w:rPr>
                        <w:color w:val="000000"/>
                        <w:sz w:val="26"/>
                      </w:rPr>
                      <w:t xml:space="preserve"> PAGE 2</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864DF"/>
    <w:multiLevelType w:val="multilevel"/>
    <w:tmpl w:val="F72864DF"/>
    <w:lvl w:ilvl="0" w:tentative="0">
      <w:start w:val="1"/>
      <w:numFmt w:val="decimal"/>
      <w:lvlText w:val="%1."/>
      <w:lvlJc w:val="left"/>
      <w:pPr>
        <w:ind w:left="477" w:hanging="357"/>
      </w:pPr>
      <w:rPr>
        <w:rFonts w:ascii="Times New Roman" w:hAnsi="Times New Roman" w:eastAsia="Times New Roman" w:cs="Times New Roman"/>
        <w:b/>
        <w:i w:val="0"/>
        <w:sz w:val="24"/>
        <w:szCs w:val="24"/>
      </w:rPr>
    </w:lvl>
    <w:lvl w:ilvl="1" w:tentative="0">
      <w:start w:val="1"/>
      <w:numFmt w:val="decimal"/>
      <w:lvlText w:val="%1.%2"/>
      <w:lvlJc w:val="left"/>
      <w:pPr>
        <w:ind w:left="480" w:hanging="360"/>
      </w:pPr>
      <w:rPr>
        <w:rFonts w:ascii="Times New Roman" w:hAnsi="Times New Roman" w:eastAsia="Times New Roman" w:cs="Times New Roman"/>
        <w:b/>
        <w:i w:val="0"/>
        <w:sz w:val="24"/>
        <w:szCs w:val="24"/>
      </w:rPr>
    </w:lvl>
    <w:lvl w:ilvl="2" w:tentative="0">
      <w:start w:val="0"/>
      <w:numFmt w:val="bullet"/>
      <w:lvlText w:val="•"/>
      <w:lvlJc w:val="left"/>
      <w:pPr>
        <w:ind w:left="2525" w:hanging="360"/>
      </w:pPr>
    </w:lvl>
    <w:lvl w:ilvl="3" w:tentative="0">
      <w:start w:val="0"/>
      <w:numFmt w:val="bullet"/>
      <w:lvlText w:val="•"/>
      <w:lvlJc w:val="left"/>
      <w:pPr>
        <w:ind w:left="3547" w:hanging="360"/>
      </w:pPr>
    </w:lvl>
    <w:lvl w:ilvl="4" w:tentative="0">
      <w:start w:val="0"/>
      <w:numFmt w:val="bullet"/>
      <w:lvlText w:val="•"/>
      <w:lvlJc w:val="left"/>
      <w:pPr>
        <w:ind w:left="4570" w:hanging="360"/>
      </w:pPr>
    </w:lvl>
    <w:lvl w:ilvl="5" w:tentative="0">
      <w:start w:val="0"/>
      <w:numFmt w:val="bullet"/>
      <w:lvlText w:val="•"/>
      <w:lvlJc w:val="left"/>
      <w:pPr>
        <w:ind w:left="5593" w:hanging="360"/>
      </w:pPr>
    </w:lvl>
    <w:lvl w:ilvl="6" w:tentative="0">
      <w:start w:val="0"/>
      <w:numFmt w:val="bullet"/>
      <w:lvlText w:val="•"/>
      <w:lvlJc w:val="left"/>
      <w:pPr>
        <w:ind w:left="6615" w:hanging="360"/>
      </w:pPr>
    </w:lvl>
    <w:lvl w:ilvl="7" w:tentative="0">
      <w:start w:val="0"/>
      <w:numFmt w:val="bullet"/>
      <w:lvlText w:val="•"/>
      <w:lvlJc w:val="left"/>
      <w:pPr>
        <w:ind w:left="7638" w:hanging="360"/>
      </w:pPr>
    </w:lvl>
    <w:lvl w:ilvl="8" w:tentative="0">
      <w:start w:val="0"/>
      <w:numFmt w:val="bullet"/>
      <w:lvlText w:val="•"/>
      <w:lvlJc w:val="left"/>
      <w:pPr>
        <w:ind w:left="8661" w:hanging="360"/>
      </w:pPr>
    </w:lvl>
  </w:abstractNum>
  <w:abstractNum w:abstractNumId="1">
    <w:nsid w:val="2EB810A9"/>
    <w:multiLevelType w:val="multilevel"/>
    <w:tmpl w:val="2EB810A9"/>
    <w:lvl w:ilvl="0" w:tentative="0">
      <w:start w:val="0"/>
      <w:numFmt w:val="bullet"/>
      <w:lvlText w:val=""/>
      <w:lvlJc w:val="left"/>
      <w:pPr>
        <w:ind w:left="1800" w:hanging="600"/>
      </w:pPr>
      <w:rPr>
        <w:rFonts w:hint="default" w:ascii="Symbol" w:hAnsi="Symbol" w:eastAsia="Times New Roman" w:cs="Times New Roman"/>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34043CCF"/>
    <w:multiLevelType w:val="multilevel"/>
    <w:tmpl w:val="34043CCF"/>
    <w:lvl w:ilvl="0" w:tentative="0">
      <w:start w:val="0"/>
      <w:numFmt w:val="bullet"/>
      <w:lvlText w:val=""/>
      <w:lvlJc w:val="left"/>
      <w:pPr>
        <w:ind w:left="480" w:hanging="360"/>
      </w:pPr>
      <w:rPr>
        <w:rFonts w:hint="default" w:ascii="Symbol" w:hAnsi="Symbol" w:eastAsia="Times New Roman" w:cs="Times New Roman"/>
        <w:b w:val="0"/>
        <w:i w:val="0"/>
        <w:sz w:val="24"/>
        <w:szCs w:val="24"/>
      </w:rPr>
    </w:lvl>
    <w:lvl w:ilvl="1" w:tentative="0">
      <w:start w:val="0"/>
      <w:numFmt w:val="bullet"/>
      <w:lvlText w:val="•"/>
      <w:lvlJc w:val="left"/>
      <w:pPr>
        <w:ind w:left="1502" w:hanging="360"/>
      </w:pPr>
    </w:lvl>
    <w:lvl w:ilvl="2" w:tentative="0">
      <w:start w:val="0"/>
      <w:numFmt w:val="bullet"/>
      <w:lvlText w:val="•"/>
      <w:lvlJc w:val="left"/>
      <w:pPr>
        <w:ind w:left="2525" w:hanging="360"/>
      </w:pPr>
    </w:lvl>
    <w:lvl w:ilvl="3" w:tentative="0">
      <w:start w:val="0"/>
      <w:numFmt w:val="bullet"/>
      <w:lvlText w:val="•"/>
      <w:lvlJc w:val="left"/>
      <w:pPr>
        <w:ind w:left="3547" w:hanging="360"/>
      </w:pPr>
    </w:lvl>
    <w:lvl w:ilvl="4" w:tentative="0">
      <w:start w:val="0"/>
      <w:numFmt w:val="bullet"/>
      <w:lvlText w:val="•"/>
      <w:lvlJc w:val="left"/>
      <w:pPr>
        <w:ind w:left="4570" w:hanging="360"/>
      </w:pPr>
    </w:lvl>
    <w:lvl w:ilvl="5" w:tentative="0">
      <w:start w:val="0"/>
      <w:numFmt w:val="bullet"/>
      <w:lvlText w:val="•"/>
      <w:lvlJc w:val="left"/>
      <w:pPr>
        <w:ind w:left="5593" w:hanging="360"/>
      </w:pPr>
    </w:lvl>
    <w:lvl w:ilvl="6" w:tentative="0">
      <w:start w:val="0"/>
      <w:numFmt w:val="bullet"/>
      <w:lvlText w:val="•"/>
      <w:lvlJc w:val="left"/>
      <w:pPr>
        <w:ind w:left="6615" w:hanging="360"/>
      </w:pPr>
    </w:lvl>
    <w:lvl w:ilvl="7" w:tentative="0">
      <w:start w:val="0"/>
      <w:numFmt w:val="bullet"/>
      <w:lvlText w:val="•"/>
      <w:lvlJc w:val="left"/>
      <w:pPr>
        <w:ind w:left="7638" w:hanging="360"/>
      </w:pPr>
    </w:lvl>
    <w:lvl w:ilvl="8" w:tentative="0">
      <w:start w:val="0"/>
      <w:numFmt w:val="bullet"/>
      <w:lvlText w:val="•"/>
      <w:lvlJc w:val="left"/>
      <w:pPr>
        <w:ind w:left="8661" w:hanging="360"/>
      </w:pPr>
    </w:lvl>
  </w:abstractNum>
  <w:abstractNum w:abstractNumId="3">
    <w:nsid w:val="4296EA92"/>
    <w:multiLevelType w:val="multilevel"/>
    <w:tmpl w:val="4296EA92"/>
    <w:lvl w:ilvl="0" w:tentative="0">
      <w:start w:val="1"/>
      <w:numFmt w:val="lowerLetter"/>
      <w:lvlText w:val="%1)"/>
      <w:lvlJc w:val="left"/>
      <w:pPr>
        <w:ind w:left="840" w:hanging="1200"/>
      </w:pPr>
      <w:rPr>
        <w:rFonts w:ascii="Trebuchet MS" w:hAnsi="Trebuchet MS" w:eastAsia="Trebuchet MS" w:cs="Trebuchet MS"/>
        <w:b w:val="0"/>
        <w:i w:val="0"/>
        <w:strike w:val="0"/>
        <w:color w:val="000000"/>
        <w:sz w:val="22"/>
        <w:szCs w:val="22"/>
        <w:u w:val="none"/>
        <w:shd w:val="clear" w:color="auto" w:fill="auto"/>
        <w:vertAlign w:val="baseline"/>
      </w:rPr>
    </w:lvl>
    <w:lvl w:ilvl="1" w:tentative="0">
      <w:start w:val="1"/>
      <w:numFmt w:val="lowerLetter"/>
      <w:lvlText w:val="%2"/>
      <w:lvlJc w:val="left"/>
      <w:pPr>
        <w:ind w:left="1560" w:hanging="1920"/>
      </w:pPr>
      <w:rPr>
        <w:rFonts w:ascii="Trebuchet MS" w:hAnsi="Trebuchet MS" w:eastAsia="Trebuchet MS" w:cs="Trebuchet MS"/>
        <w:b w:val="0"/>
        <w:i w:val="0"/>
        <w:strike w:val="0"/>
        <w:color w:val="000000"/>
        <w:sz w:val="22"/>
        <w:szCs w:val="22"/>
        <w:u w:val="none"/>
        <w:shd w:val="clear" w:color="auto" w:fill="auto"/>
        <w:vertAlign w:val="baseline"/>
      </w:rPr>
    </w:lvl>
    <w:lvl w:ilvl="2" w:tentative="0">
      <w:start w:val="1"/>
      <w:numFmt w:val="lowerRoman"/>
      <w:lvlText w:val="%3"/>
      <w:lvlJc w:val="left"/>
      <w:pPr>
        <w:ind w:left="2280" w:hanging="2640"/>
      </w:pPr>
      <w:rPr>
        <w:rFonts w:ascii="Trebuchet MS" w:hAnsi="Trebuchet MS" w:eastAsia="Trebuchet MS" w:cs="Trebuchet MS"/>
        <w:b w:val="0"/>
        <w:i w:val="0"/>
        <w:strike w:val="0"/>
        <w:color w:val="000000"/>
        <w:sz w:val="22"/>
        <w:szCs w:val="22"/>
        <w:u w:val="none"/>
        <w:shd w:val="clear" w:color="auto" w:fill="auto"/>
        <w:vertAlign w:val="baseline"/>
      </w:rPr>
    </w:lvl>
    <w:lvl w:ilvl="3" w:tentative="0">
      <w:start w:val="1"/>
      <w:numFmt w:val="decimal"/>
      <w:lvlText w:val="%4"/>
      <w:lvlJc w:val="left"/>
      <w:pPr>
        <w:ind w:left="3000" w:hanging="3360"/>
      </w:pPr>
      <w:rPr>
        <w:rFonts w:ascii="Trebuchet MS" w:hAnsi="Trebuchet MS" w:eastAsia="Trebuchet MS" w:cs="Trebuchet MS"/>
        <w:b w:val="0"/>
        <w:i w:val="0"/>
        <w:strike w:val="0"/>
        <w:color w:val="000000"/>
        <w:sz w:val="22"/>
        <w:szCs w:val="22"/>
        <w:u w:val="none"/>
        <w:shd w:val="clear" w:color="auto" w:fill="auto"/>
        <w:vertAlign w:val="baseline"/>
      </w:rPr>
    </w:lvl>
    <w:lvl w:ilvl="4" w:tentative="0">
      <w:start w:val="1"/>
      <w:numFmt w:val="lowerLetter"/>
      <w:lvlText w:val="%5"/>
      <w:lvlJc w:val="left"/>
      <w:pPr>
        <w:ind w:left="3720" w:hanging="4080"/>
      </w:pPr>
      <w:rPr>
        <w:rFonts w:ascii="Trebuchet MS" w:hAnsi="Trebuchet MS" w:eastAsia="Trebuchet MS" w:cs="Trebuchet MS"/>
        <w:b w:val="0"/>
        <w:i w:val="0"/>
        <w:strike w:val="0"/>
        <w:color w:val="000000"/>
        <w:sz w:val="22"/>
        <w:szCs w:val="22"/>
        <w:u w:val="none"/>
        <w:shd w:val="clear" w:color="auto" w:fill="auto"/>
        <w:vertAlign w:val="baseline"/>
      </w:rPr>
    </w:lvl>
    <w:lvl w:ilvl="5" w:tentative="0">
      <w:start w:val="1"/>
      <w:numFmt w:val="lowerRoman"/>
      <w:lvlText w:val="%6"/>
      <w:lvlJc w:val="left"/>
      <w:pPr>
        <w:ind w:left="4440" w:hanging="4800"/>
      </w:pPr>
      <w:rPr>
        <w:rFonts w:ascii="Trebuchet MS" w:hAnsi="Trebuchet MS" w:eastAsia="Trebuchet MS" w:cs="Trebuchet MS"/>
        <w:b w:val="0"/>
        <w:i w:val="0"/>
        <w:strike w:val="0"/>
        <w:color w:val="000000"/>
        <w:sz w:val="22"/>
        <w:szCs w:val="22"/>
        <w:u w:val="none"/>
        <w:shd w:val="clear" w:color="auto" w:fill="auto"/>
        <w:vertAlign w:val="baseline"/>
      </w:rPr>
    </w:lvl>
    <w:lvl w:ilvl="6" w:tentative="0">
      <w:start w:val="1"/>
      <w:numFmt w:val="decimal"/>
      <w:lvlText w:val="%7"/>
      <w:lvlJc w:val="left"/>
      <w:pPr>
        <w:ind w:left="5160" w:hanging="5520"/>
      </w:pPr>
      <w:rPr>
        <w:rFonts w:ascii="Trebuchet MS" w:hAnsi="Trebuchet MS" w:eastAsia="Trebuchet MS" w:cs="Trebuchet MS"/>
        <w:b w:val="0"/>
        <w:i w:val="0"/>
        <w:strike w:val="0"/>
        <w:color w:val="000000"/>
        <w:sz w:val="22"/>
        <w:szCs w:val="22"/>
        <w:u w:val="none"/>
        <w:shd w:val="clear" w:color="auto" w:fill="auto"/>
        <w:vertAlign w:val="baseline"/>
      </w:rPr>
    </w:lvl>
    <w:lvl w:ilvl="7" w:tentative="0">
      <w:start w:val="1"/>
      <w:numFmt w:val="lowerLetter"/>
      <w:lvlText w:val="%8"/>
      <w:lvlJc w:val="left"/>
      <w:pPr>
        <w:ind w:left="5880" w:hanging="6240"/>
      </w:pPr>
      <w:rPr>
        <w:rFonts w:ascii="Trebuchet MS" w:hAnsi="Trebuchet MS" w:eastAsia="Trebuchet MS" w:cs="Trebuchet MS"/>
        <w:b w:val="0"/>
        <w:i w:val="0"/>
        <w:strike w:val="0"/>
        <w:color w:val="000000"/>
        <w:sz w:val="22"/>
        <w:szCs w:val="22"/>
        <w:u w:val="none"/>
        <w:shd w:val="clear" w:color="auto" w:fill="auto"/>
        <w:vertAlign w:val="baseline"/>
      </w:rPr>
    </w:lvl>
    <w:lvl w:ilvl="8" w:tentative="0">
      <w:start w:val="1"/>
      <w:numFmt w:val="lowerRoman"/>
      <w:lvlText w:val="%9"/>
      <w:lvlJc w:val="left"/>
      <w:pPr>
        <w:ind w:left="6600" w:hanging="6960"/>
      </w:pPr>
      <w:rPr>
        <w:rFonts w:ascii="Trebuchet MS" w:hAnsi="Trebuchet MS" w:eastAsia="Trebuchet MS" w:cs="Trebuchet MS"/>
        <w:b w:val="0"/>
        <w:i w:val="0"/>
        <w:strike w:val="0"/>
        <w:color w:val="000000"/>
        <w:sz w:val="22"/>
        <w:szCs w:val="22"/>
        <w:u w:val="none"/>
        <w:shd w:val="clear" w:color="auto" w:fill="auto"/>
        <w:vertAlign w:val="baseline"/>
      </w:rPr>
    </w:lvl>
  </w:abstractNum>
  <w:abstractNum w:abstractNumId="4">
    <w:nsid w:val="45ED61E5"/>
    <w:multiLevelType w:val="multilevel"/>
    <w:tmpl w:val="45ED61E5"/>
    <w:lvl w:ilvl="0" w:tentative="0">
      <w:start w:val="0"/>
      <w:numFmt w:val="bullet"/>
      <w:lvlText w:val=""/>
      <w:lvlJc w:val="left"/>
      <w:pPr>
        <w:ind w:left="1077" w:hanging="600"/>
      </w:pPr>
      <w:rPr>
        <w:rFonts w:hint="default" w:ascii="Symbol" w:hAnsi="Symbol" w:eastAsia="Times New Roman" w:cs="Times New Roman"/>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5">
    <w:nsid w:val="46946750"/>
    <w:multiLevelType w:val="multilevel"/>
    <w:tmpl w:val="46946750"/>
    <w:lvl w:ilvl="0" w:tentative="0">
      <w:start w:val="0"/>
      <w:numFmt w:val="bullet"/>
      <w:lvlText w:val=""/>
      <w:lvlJc w:val="left"/>
      <w:pPr>
        <w:ind w:left="1077" w:hanging="600"/>
      </w:pPr>
      <w:rPr>
        <w:rFonts w:hint="default" w:ascii="Symbol" w:hAnsi="Symbol" w:eastAsia="Times New Roman" w:cs="Times New Roman"/>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6">
    <w:nsid w:val="56454AF9"/>
    <w:multiLevelType w:val="multilevel"/>
    <w:tmpl w:val="56454AF9"/>
    <w:lvl w:ilvl="0" w:tentative="0">
      <w:start w:val="1"/>
      <w:numFmt w:val="decimal"/>
      <w:lvlText w:val="%1."/>
      <w:lvlJc w:val="left"/>
      <w:pPr>
        <w:ind w:left="480" w:hanging="360"/>
      </w:pPr>
      <w:rPr>
        <w:rFonts w:hint="default"/>
      </w:r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7">
    <w:nsid w:val="700F4997"/>
    <w:multiLevelType w:val="multilevel"/>
    <w:tmpl w:val="700F49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86E6565"/>
    <w:multiLevelType w:val="multilevel"/>
    <w:tmpl w:val="786E6565"/>
    <w:lvl w:ilvl="0" w:tentative="0">
      <w:start w:val="0"/>
      <w:numFmt w:val="bullet"/>
      <w:lvlText w:val=""/>
      <w:lvlJc w:val="left"/>
      <w:pPr>
        <w:ind w:left="1080" w:hanging="600"/>
      </w:pPr>
      <w:rPr>
        <w:rFonts w:hint="default" w:ascii="Symbol" w:hAnsi="Symbol"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6"/>
  </w:num>
  <w:num w:numId="3">
    <w:abstractNumId w:val="1"/>
  </w:num>
  <w:num w:numId="4">
    <w:abstractNumId w:val="8"/>
  </w:num>
  <w:num w:numId="5">
    <w:abstractNumId w:val="5"/>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B7"/>
    <w:rsid w:val="00695901"/>
    <w:rsid w:val="006A1792"/>
    <w:rsid w:val="006D37B7"/>
    <w:rsid w:val="007C1564"/>
    <w:rsid w:val="008D3BBD"/>
    <w:rsid w:val="009A1EF3"/>
    <w:rsid w:val="00B86171"/>
    <w:rsid w:val="00BB4355"/>
    <w:rsid w:val="00C45042"/>
    <w:rsid w:val="00CC2A32"/>
    <w:rsid w:val="00D401FB"/>
    <w:rsid w:val="00D6460A"/>
    <w:rsid w:val="00E53D52"/>
    <w:rsid w:val="00E94848"/>
    <w:rsid w:val="00ED67D0"/>
    <w:rsid w:val="00F61BB3"/>
    <w:rsid w:val="00F638C4"/>
    <w:rsid w:val="00F82E4B"/>
    <w:rsid w:val="00F85EB9"/>
    <w:rsid w:val="36F72019"/>
    <w:rsid w:val="4A0832F6"/>
    <w:rsid w:val="4BC225EF"/>
    <w:rsid w:val="5F1A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477" w:hanging="357"/>
      <w:outlineLvl w:val="0"/>
    </w:pPr>
    <w:rPr>
      <w:b/>
      <w:bCs/>
      <w:sz w:val="24"/>
      <w:szCs w:val="24"/>
    </w:rPr>
  </w:style>
  <w:style w:type="paragraph" w:styleId="3">
    <w:name w:val="heading 2"/>
    <w:basedOn w:val="1"/>
    <w:next w:val="1"/>
    <w:qFormat/>
    <w:uiPriority w:val="1"/>
    <w:pPr>
      <w:ind w:left="480" w:hanging="360"/>
      <w:outlineLvl w:val="1"/>
    </w:pPr>
    <w:rPr>
      <w:b/>
      <w:bCs/>
      <w:sz w:val="24"/>
      <w:szCs w:val="2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1"/>
    <w:rPr>
      <w:sz w:val="24"/>
      <w:szCs w:val="24"/>
    </w:rPr>
  </w:style>
  <w:style w:type="character" w:styleId="11">
    <w:name w:val="annotation reference"/>
    <w:basedOn w:val="8"/>
    <w:qFormat/>
    <w:uiPriority w:val="0"/>
    <w:rPr>
      <w:sz w:val="16"/>
      <w:szCs w:val="16"/>
    </w:rPr>
  </w:style>
  <w:style w:type="paragraph" w:styleId="12">
    <w:name w:val="annotation text"/>
    <w:basedOn w:val="1"/>
    <w:link w:val="25"/>
    <w:qFormat/>
    <w:uiPriority w:val="0"/>
    <w:rPr>
      <w:sz w:val="20"/>
      <w:szCs w:val="20"/>
    </w:rPr>
  </w:style>
  <w:style w:type="paragraph" w:styleId="13">
    <w:name w:val="annotation subject"/>
    <w:basedOn w:val="12"/>
    <w:next w:val="12"/>
    <w:link w:val="26"/>
    <w:qFormat/>
    <w:uiPriority w:val="0"/>
    <w:rPr>
      <w:b/>
      <w:bCs/>
    </w:rPr>
  </w:style>
  <w:style w:type="character" w:styleId="14">
    <w:name w:val="Emphasis"/>
    <w:basedOn w:val="8"/>
    <w:qFormat/>
    <w:uiPriority w:val="0"/>
    <w:rPr>
      <w:i/>
      <w:iCs/>
    </w:rPr>
  </w:style>
  <w:style w:type="character" w:styleId="15">
    <w:name w:val="Hyperlink"/>
    <w:basedOn w:val="8"/>
    <w:qFormat/>
    <w:uiPriority w:val="0"/>
    <w:rPr>
      <w:color w:val="0000FF"/>
      <w:u w:val="single"/>
    </w:rPr>
  </w:style>
  <w:style w:type="paragraph" w:styleId="16">
    <w:name w:val="Normal (Web)"/>
    <w:qFormat/>
    <w:uiPriority w:val="0"/>
    <w:pPr>
      <w:widowControl w:val="0"/>
      <w:spacing w:beforeAutospacing="1" w:afterAutospacing="1"/>
    </w:pPr>
    <w:rPr>
      <w:rFonts w:ascii="Times New Roman" w:hAnsi="Times New Roman" w:eastAsia="SimSun" w:cs="Times New Roman"/>
      <w:sz w:val="24"/>
      <w:szCs w:val="24"/>
      <w:lang w:val="en-US" w:eastAsia="zh-CN" w:bidi="ar-SA"/>
    </w:rPr>
  </w:style>
  <w:style w:type="character" w:styleId="17">
    <w:name w:val="Strong"/>
    <w:basedOn w:val="8"/>
    <w:qFormat/>
    <w:uiPriority w:val="0"/>
    <w:rPr>
      <w:b/>
      <w:bCs/>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9">
    <w:name w:val="Title"/>
    <w:basedOn w:val="1"/>
    <w:next w:val="1"/>
    <w:qFormat/>
    <w:uiPriority w:val="1"/>
    <w:pPr>
      <w:jc w:val="center"/>
    </w:pPr>
    <w:rPr>
      <w:b/>
      <w:bCs/>
      <w:sz w:val="28"/>
      <w:szCs w:val="28"/>
    </w:rPr>
  </w:style>
  <w:style w:type="table" w:customStyle="1" w:styleId="20">
    <w:name w:val="Table Normal11"/>
    <w:qFormat/>
    <w:uiPriority w:val="0"/>
    <w:tblPr>
      <w:tblCellMar>
        <w:top w:w="0" w:type="dxa"/>
        <w:left w:w="0" w:type="dxa"/>
        <w:bottom w:w="0" w:type="dxa"/>
        <w:right w:w="0" w:type="dxa"/>
      </w:tblCellMar>
    </w:tblPr>
  </w:style>
  <w:style w:type="table" w:customStyle="1" w:styleId="21">
    <w:name w:val="Table Normal1"/>
    <w:semiHidden/>
    <w:unhideWhenUsed/>
    <w:qFormat/>
    <w:uiPriority w:val="2"/>
    <w:tblPr>
      <w:tblCellMar>
        <w:top w:w="0" w:type="dxa"/>
        <w:left w:w="0" w:type="dxa"/>
        <w:bottom w:w="0" w:type="dxa"/>
        <w:right w:w="0" w:type="dxa"/>
      </w:tblCellMar>
    </w:tblPr>
  </w:style>
  <w:style w:type="paragraph" w:styleId="22">
    <w:name w:val="List Paragraph"/>
    <w:basedOn w:val="1"/>
    <w:qFormat/>
    <w:uiPriority w:val="99"/>
    <w:pPr>
      <w:ind w:left="480" w:hanging="360"/>
    </w:pPr>
  </w:style>
  <w:style w:type="paragraph" w:customStyle="1" w:styleId="23">
    <w:name w:val="Table Paragraph"/>
    <w:basedOn w:val="1"/>
    <w:qFormat/>
    <w:uiPriority w:val="1"/>
    <w:pPr>
      <w:ind w:left="107" w:right="98"/>
      <w:jc w:val="both"/>
    </w:pPr>
  </w:style>
  <w:style w:type="paragraph" w:customStyle="1" w:styleId="24">
    <w:name w:val="Revision1"/>
    <w:hidden/>
    <w:unhideWhenUsed/>
    <w:qFormat/>
    <w:uiPriority w:val="99"/>
    <w:pPr>
      <w:widowControl w:val="0"/>
    </w:pPr>
    <w:rPr>
      <w:rFonts w:ascii="Times New Roman" w:hAnsi="Times New Roman" w:eastAsia="Times New Roman" w:cs="Times New Roman"/>
      <w:sz w:val="22"/>
      <w:szCs w:val="22"/>
      <w:lang w:val="en-US" w:eastAsia="en-US" w:bidi="ar-SA"/>
    </w:rPr>
  </w:style>
  <w:style w:type="character" w:customStyle="1" w:styleId="25">
    <w:name w:val="Comment Text Char"/>
    <w:basedOn w:val="8"/>
    <w:link w:val="12"/>
    <w:qFormat/>
    <w:uiPriority w:val="0"/>
    <w:rPr>
      <w:rFonts w:eastAsia="Times New Roman"/>
    </w:rPr>
  </w:style>
  <w:style w:type="character" w:customStyle="1" w:styleId="26">
    <w:name w:val="Comment Subject Char"/>
    <w:basedOn w:val="25"/>
    <w:link w:val="13"/>
    <w:qFormat/>
    <w:uiPriority w:val="0"/>
    <w:rPr>
      <w:rFonts w:eastAsia="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781</Words>
  <Characters>4454</Characters>
  <Lines>37</Lines>
  <Paragraphs>10</Paragraphs>
  <TotalTime>12</TotalTime>
  <ScaleCrop>false</ScaleCrop>
  <LinksUpToDate>false</LinksUpToDate>
  <CharactersWithSpaces>5225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2025-03-14T13:18:00Z</dcterms:created>
  <dc:creator>Gordon Kojo</dc:creator>
  <cp:lastModifiedBy>user</cp:lastModifiedBy>
  <dcterms:modified xsi:type="dcterms:W3CDTF">2025-03-24T13:04:33Z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2013</vt:lpwstr>
  </property>
  <property fmtid="{D5CDD505-2E9C-101B-9397-08002B2CF9AE}" pid="4" name="LastSaved">
    <vt:filetime>2024-11-26T00:00:00Z</vt:filetime>
  </property>
  <property fmtid="{D5CDD505-2E9C-101B-9397-08002B2CF9AE}" pid="5" name="Producer">
    <vt:lpwstr>Microsoft® Word 2013</vt:lpwstr>
  </property>
  <property fmtid="{D5CDD505-2E9C-101B-9397-08002B2CF9AE}" pid="6" name="KSOProductBuildVer">
    <vt:lpwstr>1033-12.2.0.20326</vt:lpwstr>
  </property>
  <property fmtid="{D5CDD505-2E9C-101B-9397-08002B2CF9AE}" pid="7" name="ICV">
    <vt:lpwstr>817CA79550654A3BB896AABBB74C943A_13</vt:lpwstr>
  </property>
  <property fmtid="{D5CDD505-2E9C-101B-9397-08002B2CF9AE}" pid="8" name="GrammarlyDocumentId">
    <vt:lpwstr>179f0283184d48e9d16dff93d830fff2abc31d906421ed7b9ddeac6c7588dfba</vt:lpwstr>
  </property>
</Properties>
</file>