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3C" w:rsidRDefault="004D44B0">
      <w:pPr>
        <w:ind w:left="4183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noProof/>
          <w:color w:val="000000"/>
          <w:sz w:val="24"/>
          <w:szCs w:val="24"/>
        </w:rPr>
        <w:drawing>
          <wp:inline distT="0" distB="0" distL="0" distR="0">
            <wp:extent cx="1649095" cy="673100"/>
            <wp:effectExtent l="0" t="0" r="0" b="0"/>
            <wp:docPr id="1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B3C" w:rsidRDefault="00090B3C">
      <w:pPr>
        <w:spacing w:before="67"/>
        <w:jc w:val="both"/>
        <w:rPr>
          <w:color w:val="000000"/>
          <w:sz w:val="24"/>
          <w:szCs w:val="24"/>
        </w:rPr>
      </w:pPr>
    </w:p>
    <w:p w:rsidR="00090B3C" w:rsidRDefault="004D44B0">
      <w:pPr>
        <w:pStyle w:val="Title"/>
        <w:rPr>
          <w:sz w:val="24"/>
          <w:szCs w:val="24"/>
        </w:rPr>
      </w:pPr>
      <w:r>
        <w:rPr>
          <w:sz w:val="24"/>
          <w:szCs w:val="24"/>
        </w:rPr>
        <w:t>Biodiversity and Biosafety Association of Kenya (BI</w:t>
      </w:r>
      <w:sdt>
        <w:sdtPr>
          <w:tag w:val="goog_rdk_0"/>
          <w:id w:val="147453481"/>
        </w:sdtPr>
        <w:sdtEndPr/>
        <w:sdtContent/>
      </w:sdt>
      <w:r>
        <w:rPr>
          <w:sz w:val="24"/>
          <w:szCs w:val="24"/>
        </w:rPr>
        <w:t>BA Kenya)</w:t>
      </w:r>
    </w:p>
    <w:p w:rsidR="00090B3C" w:rsidRDefault="004D44B0">
      <w:pPr>
        <w:pStyle w:val="Title"/>
        <w:shd w:val="clear" w:color="auto" w:fill="C7DAF1"/>
        <w:spacing w:before="287"/>
        <w:ind w:left="120" w:right="113"/>
        <w:rPr>
          <w:sz w:val="24"/>
          <w:szCs w:val="24"/>
        </w:rPr>
      </w:pPr>
      <w:r>
        <w:rPr>
          <w:sz w:val="24"/>
          <w:szCs w:val="24"/>
        </w:rPr>
        <w:t>TERMS OF REFERENCE (ToR) FOR CONSULTANCY ON THE REVIEW OF BIBA KENYA’S STRATEGIC PLAN</w:t>
      </w:r>
    </w:p>
    <w:p w:rsidR="00090B3C" w:rsidRDefault="004D44B0">
      <w:pPr>
        <w:pStyle w:val="Heading1"/>
        <w:numPr>
          <w:ilvl w:val="0"/>
          <w:numId w:val="1"/>
        </w:numPr>
        <w:shd w:val="clear" w:color="auto" w:fill="C7DAF1"/>
        <w:tabs>
          <w:tab w:val="left" w:pos="477"/>
        </w:tabs>
        <w:spacing w:before="240"/>
        <w:jc w:val="both"/>
      </w:pPr>
      <w:r>
        <w:t>INTRODUCTION</w:t>
      </w:r>
    </w:p>
    <w:p w:rsidR="00090B3C" w:rsidRDefault="004D44B0">
      <w:pPr>
        <w:pStyle w:val="Heading2"/>
        <w:numPr>
          <w:ilvl w:val="1"/>
          <w:numId w:val="1"/>
        </w:numPr>
        <w:tabs>
          <w:tab w:val="left" w:pos="480"/>
        </w:tabs>
        <w:spacing w:before="41"/>
        <w:jc w:val="both"/>
      </w:pPr>
      <w:r>
        <w:t>Back ground</w:t>
      </w:r>
      <w:r>
        <w:t xml:space="preserve"> </w:t>
      </w:r>
    </w:p>
    <w:p w:rsidR="00090B3C" w:rsidRDefault="004D44B0">
      <w:pPr>
        <w:widowControl/>
        <w:ind w:lef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BIBA Kenya is a national network comprising of farmer organizations, animal </w:t>
      </w:r>
      <w:r>
        <w:rPr>
          <w:color w:val="000000"/>
          <w:sz w:val="24"/>
          <w:szCs w:val="24"/>
        </w:rPr>
        <w:t>welfare groups, consumer networks, faith-based organizations, local non-governmental organizations, and community-based organization promoting agroecology,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environment, health, food safety and biodiversity.  Currently, it comprises 52 member organizations </w:t>
      </w:r>
      <w:r>
        <w:rPr>
          <w:color w:val="000000"/>
          <w:sz w:val="24"/>
          <w:szCs w:val="24"/>
        </w:rPr>
        <w:t>spread across 22 counties. These member organizations are distributed across regions including Nairobi, Central, Rift Valley, Western, Eastern, and Nyanza.</w:t>
      </w:r>
    </w:p>
    <w:p w:rsidR="00090B3C" w:rsidRDefault="004D44B0">
      <w:pPr>
        <w:spacing w:before="100" w:beforeAutospacing="1" w:after="100" w:afterAutospacing="1"/>
        <w:ind w:lef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BIBA Kenya’s mandate is to ensure the public is </w:t>
      </w:r>
      <w:r>
        <w:rPr>
          <w:b/>
          <w:color w:val="000000"/>
          <w:sz w:val="24"/>
          <w:szCs w:val="24"/>
        </w:rPr>
        <w:t>AWARE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ALERT</w:t>
      </w:r>
      <w:r>
        <w:rPr>
          <w:color w:val="000000"/>
          <w:sz w:val="24"/>
          <w:szCs w:val="24"/>
        </w:rPr>
        <w:t xml:space="preserve"> about critical issues related to the</w:t>
      </w:r>
      <w:r>
        <w:rPr>
          <w:color w:val="000000"/>
          <w:sz w:val="24"/>
          <w:szCs w:val="24"/>
        </w:rPr>
        <w:t xml:space="preserve"> environment, agriculture, livestock, food safety, health, and biodiversity. The network envisions a healthy nation that safeguards its biodiversity to promote community justice and sustainable livelihoods. BIBA Kenya implements its activities at the commu</w:t>
      </w:r>
      <w:r>
        <w:rPr>
          <w:color w:val="000000"/>
          <w:sz w:val="24"/>
          <w:szCs w:val="24"/>
        </w:rPr>
        <w:t xml:space="preserve">nity level through its member organizations. </w:t>
      </w:r>
    </w:p>
    <w:p w:rsidR="00090B3C" w:rsidRDefault="004D44B0">
      <w:pPr>
        <w:spacing w:before="100" w:beforeAutospacing="1" w:after="100" w:afterAutospacing="1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BIBA Kenya’s last strategic plan ended</w:t>
      </w:r>
      <w:r>
        <w:rPr>
          <w:sz w:val="24"/>
          <w:szCs w:val="24"/>
        </w:rPr>
        <w:t xml:space="preserve"> in 2024, and there is a need to review and develop a new strategic plan to align the organization’s vision, mission, and strategic priorities with current realities</w:t>
      </w:r>
      <w:r>
        <w:rPr>
          <w:sz w:val="24"/>
          <w:szCs w:val="24"/>
        </w:rPr>
        <w:t xml:space="preserve"> and emerging challenges in biodiversity, biosafety, food systems and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Agroecology. This review will help BIBA Kenya enhance its impact and effectiveness in achieving its mandate and mission in Kenya.</w:t>
      </w:r>
    </w:p>
    <w:p w:rsidR="00090B3C" w:rsidRDefault="004D44B0">
      <w:pPr>
        <w:pStyle w:val="Heading2"/>
      </w:pPr>
      <w:r>
        <w:t>1.2. Purpose of the consultancy</w:t>
      </w:r>
    </w:p>
    <w:p w:rsidR="00090B3C" w:rsidRDefault="004D44B0">
      <w:pPr>
        <w:spacing w:after="100" w:afterAutospacing="1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purpose of this consultancy is to review BIBA Kenya’s </w:t>
      </w:r>
      <w:r>
        <w:rPr>
          <w:sz w:val="24"/>
          <w:szCs w:val="24"/>
        </w:rPr>
        <w:t>past</w:t>
      </w:r>
      <w:r>
        <w:rPr>
          <w:sz w:val="24"/>
          <w:szCs w:val="24"/>
        </w:rPr>
        <w:t xml:space="preserve"> strategic plan and develop a comprehensive and forward-looking strategic plan for the next five years. The consultant will facilitate a participatory process to assess the organization’</w:t>
      </w:r>
      <w:r>
        <w:rPr>
          <w:sz w:val="24"/>
          <w:szCs w:val="24"/>
        </w:rPr>
        <w:t>s progress, identify gaps, and establish new strategic priorities and goals.</w:t>
      </w:r>
    </w:p>
    <w:p w:rsidR="00090B3C" w:rsidRDefault="004D44B0">
      <w:pPr>
        <w:pStyle w:val="Heading1"/>
        <w:numPr>
          <w:ilvl w:val="0"/>
          <w:numId w:val="1"/>
        </w:numPr>
        <w:shd w:val="clear" w:color="auto" w:fill="C7DAF1"/>
        <w:tabs>
          <w:tab w:val="left" w:pos="477"/>
        </w:tabs>
        <w:jc w:val="both"/>
      </w:pPr>
      <w:r>
        <w:t>SCOPE OF WORK</w:t>
      </w:r>
    </w:p>
    <w:p w:rsidR="00090B3C" w:rsidRDefault="004D44B0">
      <w:pPr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The consultant will undertake the following tasks:</w:t>
      </w:r>
    </w:p>
    <w:p w:rsidR="00090B3C" w:rsidRDefault="004D44B0">
      <w:pPr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Conduct a desk review of BIBA Kenya’s </w:t>
      </w:r>
      <w:r>
        <w:rPr>
          <w:sz w:val="24"/>
          <w:szCs w:val="24"/>
        </w:rPr>
        <w:t xml:space="preserve">previous </w:t>
      </w:r>
      <w:r>
        <w:rPr>
          <w:sz w:val="24"/>
          <w:szCs w:val="24"/>
        </w:rPr>
        <w:t xml:space="preserve">strategic plan, annual reports, and other relevant </w:t>
      </w:r>
      <w:r>
        <w:rPr>
          <w:sz w:val="24"/>
          <w:szCs w:val="24"/>
        </w:rPr>
        <w:t>documents.</w:t>
      </w:r>
    </w:p>
    <w:p w:rsidR="00090B3C" w:rsidRDefault="004D44B0">
      <w:pPr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Engage with BIBA Kenya’s staff, board members, </w:t>
      </w:r>
      <w:r>
        <w:rPr>
          <w:sz w:val="24"/>
          <w:szCs w:val="24"/>
        </w:rPr>
        <w:t xml:space="preserve">members, </w:t>
      </w:r>
      <w:r>
        <w:rPr>
          <w:sz w:val="24"/>
          <w:szCs w:val="24"/>
        </w:rPr>
        <w:t>partners, and key stakeholders to gather input and insights.</w:t>
      </w:r>
    </w:p>
    <w:p w:rsidR="00090B3C" w:rsidRDefault="004D44B0">
      <w:pPr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Assess the organization’s achievements, challenges, and lessons learned from the previous strategic plan period.</w:t>
      </w:r>
    </w:p>
    <w:p w:rsidR="00090B3C" w:rsidRDefault="004D44B0">
      <w:pPr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Analyze the ext</w:t>
      </w:r>
      <w:r>
        <w:rPr>
          <w:sz w:val="24"/>
          <w:szCs w:val="24"/>
        </w:rPr>
        <w:t>ernal environment, including policy, socio-economic, and environmental factors affecting BIBA Kenya’s work.</w:t>
      </w:r>
    </w:p>
    <w:p w:rsidR="00090B3C" w:rsidRDefault="004D44B0">
      <w:pPr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Facilitate strategic planning workshops with BIBA Kenya’s stakeholders.</w:t>
      </w:r>
    </w:p>
    <w:p w:rsidR="00090B3C" w:rsidRDefault="004D44B0">
      <w:pPr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Develop a draft strategic plan, including a clear vision, mission, strategic</w:t>
      </w:r>
      <w:r>
        <w:rPr>
          <w:sz w:val="24"/>
          <w:szCs w:val="24"/>
        </w:rPr>
        <w:t xml:space="preserve"> objectives, key result areas, and an implementation framework.</w:t>
      </w:r>
    </w:p>
    <w:p w:rsidR="00090B3C" w:rsidRDefault="004D44B0">
      <w:pPr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Refine the draft strategic plan based on feedback from BIBA Kenya.</w:t>
      </w:r>
    </w:p>
    <w:p w:rsidR="00090B3C" w:rsidRDefault="004D44B0">
      <w:pPr>
        <w:widowControl/>
        <w:numPr>
          <w:ilvl w:val="0"/>
          <w:numId w:val="2"/>
        </w:numPr>
        <w:autoSpaceDE/>
        <w:autoSpaceDN/>
        <w:jc w:val="both"/>
        <w:rPr>
          <w:szCs w:val="24"/>
        </w:rPr>
      </w:pPr>
      <w:r>
        <w:rPr>
          <w:sz w:val="24"/>
          <w:szCs w:val="24"/>
        </w:rPr>
        <w:t>Finalize and present the strategic plan to BIBA Kenya’s board and key stakeholders</w:t>
      </w:r>
      <w:r>
        <w:rPr>
          <w:szCs w:val="24"/>
        </w:rPr>
        <w:t>.</w:t>
      </w:r>
    </w:p>
    <w:p w:rsidR="00090B3C" w:rsidRDefault="00090B3C">
      <w:pPr>
        <w:widowControl/>
        <w:autoSpaceDE/>
        <w:autoSpaceDN/>
        <w:ind w:left="720"/>
        <w:jc w:val="both"/>
        <w:rPr>
          <w:szCs w:val="24"/>
        </w:rPr>
      </w:pPr>
    </w:p>
    <w:p w:rsidR="00090B3C" w:rsidRDefault="004D44B0">
      <w:pPr>
        <w:pStyle w:val="Heading1"/>
        <w:numPr>
          <w:ilvl w:val="0"/>
          <w:numId w:val="1"/>
        </w:numPr>
        <w:shd w:val="clear" w:color="auto" w:fill="C7DAF1"/>
        <w:tabs>
          <w:tab w:val="left" w:pos="477"/>
        </w:tabs>
        <w:spacing w:after="240"/>
        <w:jc w:val="both"/>
      </w:pPr>
      <w:r>
        <w:t xml:space="preserve">SPECIFIC TASKS AND KEY DELIVERABLES FOR </w:t>
      </w:r>
      <w:r>
        <w:t>THE CONSULTANT</w:t>
      </w:r>
    </w:p>
    <w:p w:rsidR="00090B3C" w:rsidRDefault="004D44B0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Cs w:val="24"/>
        </w:rPr>
      </w:pPr>
      <w:r>
        <w:rPr>
          <w:szCs w:val="24"/>
        </w:rPr>
        <w:t>An inception report detailing the methodology, work plan, and timelines.</w:t>
      </w:r>
    </w:p>
    <w:p w:rsidR="00090B3C" w:rsidRDefault="004D44B0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Cs w:val="24"/>
        </w:rPr>
      </w:pPr>
      <w:r>
        <w:rPr>
          <w:szCs w:val="24"/>
        </w:rPr>
        <w:t>Stakeholder consultation report.</w:t>
      </w:r>
    </w:p>
    <w:p w:rsidR="00090B3C" w:rsidRDefault="004D44B0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Cs w:val="24"/>
        </w:rPr>
      </w:pPr>
      <w:r>
        <w:rPr>
          <w:szCs w:val="24"/>
        </w:rPr>
        <w:t>Draft strategic plan.</w:t>
      </w:r>
    </w:p>
    <w:p w:rsidR="00090B3C" w:rsidRDefault="004D44B0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Cs w:val="24"/>
        </w:rPr>
      </w:pPr>
      <w:r>
        <w:rPr>
          <w:szCs w:val="24"/>
        </w:rPr>
        <w:lastRenderedPageBreak/>
        <w:t xml:space="preserve">Final strategic plan </w:t>
      </w:r>
      <w:r>
        <w:rPr>
          <w:b/>
          <w:szCs w:val="24"/>
        </w:rPr>
        <w:t>Year 2025-2029</w:t>
      </w:r>
      <w:r>
        <w:rPr>
          <w:szCs w:val="24"/>
        </w:rPr>
        <w:t xml:space="preserve"> document.</w:t>
      </w:r>
    </w:p>
    <w:p w:rsidR="00090B3C" w:rsidRDefault="004D44B0">
      <w:pPr>
        <w:pStyle w:val="Heading1"/>
        <w:numPr>
          <w:ilvl w:val="0"/>
          <w:numId w:val="1"/>
        </w:numPr>
        <w:shd w:val="clear" w:color="auto" w:fill="C7DAF1"/>
        <w:tabs>
          <w:tab w:val="left" w:pos="477"/>
        </w:tabs>
        <w:spacing w:before="245"/>
        <w:jc w:val="both"/>
      </w:pPr>
      <w:r>
        <w:t>CONSULTANTS QUALIFICATION</w:t>
      </w:r>
    </w:p>
    <w:p w:rsidR="00090B3C" w:rsidRDefault="004D44B0">
      <w:pPr>
        <w:ind w:lef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undertake this task, BIBA Kenya, is lo</w:t>
      </w:r>
      <w:r>
        <w:rPr>
          <w:color w:val="000000"/>
          <w:sz w:val="24"/>
          <w:szCs w:val="24"/>
        </w:rPr>
        <w:t xml:space="preserve">oking for a qualified, competent and experienced professional consultant. </w:t>
      </w:r>
    </w:p>
    <w:p w:rsidR="00090B3C" w:rsidRDefault="004D44B0">
      <w:pPr>
        <w:ind w:lef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Key consideration include:</w:t>
      </w:r>
    </w:p>
    <w:p w:rsidR="00090B3C" w:rsidRDefault="004D44B0">
      <w:pPr>
        <w:pStyle w:val="ListParagraph"/>
        <w:numPr>
          <w:ilvl w:val="0"/>
          <w:numId w:val="4"/>
        </w:numPr>
        <w:tabs>
          <w:tab w:val="left" w:pos="479"/>
        </w:tabs>
        <w:ind w:left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Demonstrable knowledge and experience in working with civil societies, culture, biodiversity, agro biodiversity and seed systems, agricultural policies, </w:t>
      </w:r>
      <w:r>
        <w:rPr>
          <w:color w:val="000000"/>
          <w:sz w:val="24"/>
          <w:szCs w:val="24"/>
        </w:rPr>
        <w:t>governance, human rights, and advocacy issues.</w:t>
      </w:r>
    </w:p>
    <w:p w:rsidR="00090B3C" w:rsidRDefault="004D44B0">
      <w:pPr>
        <w:pStyle w:val="ListParagraph"/>
        <w:numPr>
          <w:ilvl w:val="0"/>
          <w:numId w:val="4"/>
        </w:numPr>
        <w:tabs>
          <w:tab w:val="left" w:pos="480"/>
        </w:tabs>
        <w:ind w:left="600"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Proven experience in strategic planning and organizational development.</w:t>
      </w:r>
    </w:p>
    <w:p w:rsidR="00090B3C" w:rsidRDefault="004D44B0">
      <w:pPr>
        <w:numPr>
          <w:ilvl w:val="0"/>
          <w:numId w:val="4"/>
        </w:numPr>
        <w:tabs>
          <w:tab w:val="left" w:pos="480"/>
        </w:tabs>
        <w:ind w:left="600"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Strong facilitation and stakeholder engagement skills.</w:t>
      </w:r>
    </w:p>
    <w:p w:rsidR="00090B3C" w:rsidRDefault="004D44B0">
      <w:pPr>
        <w:numPr>
          <w:ilvl w:val="0"/>
          <w:numId w:val="4"/>
        </w:numPr>
        <w:tabs>
          <w:tab w:val="left" w:pos="480"/>
        </w:tabs>
        <w:ind w:left="600"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Excellent analytical, writing, and communication skills.</w:t>
      </w:r>
    </w:p>
    <w:p w:rsidR="00090B3C" w:rsidRDefault="00090B3C">
      <w:pPr>
        <w:spacing w:before="10"/>
        <w:jc w:val="both"/>
        <w:rPr>
          <w:color w:val="000000"/>
          <w:sz w:val="24"/>
          <w:szCs w:val="24"/>
        </w:rPr>
      </w:pPr>
    </w:p>
    <w:p w:rsidR="00090B3C" w:rsidRDefault="004D44B0">
      <w:pPr>
        <w:pStyle w:val="Heading1"/>
        <w:numPr>
          <w:ilvl w:val="0"/>
          <w:numId w:val="1"/>
        </w:numPr>
        <w:shd w:val="clear" w:color="auto" w:fill="C7DAF1"/>
        <w:tabs>
          <w:tab w:val="left" w:pos="477"/>
        </w:tabs>
        <w:jc w:val="both"/>
      </w:pPr>
      <w:r>
        <w:t>DURATION OF CONSULTANCY</w:t>
      </w:r>
    </w:p>
    <w:p w:rsidR="00090B3C" w:rsidRDefault="004D44B0">
      <w:pPr>
        <w:ind w:left="4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anticipated the task process begin on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April 2025 and have it completed by 25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 2025 </w:t>
      </w:r>
      <w:r>
        <w:rPr>
          <w:sz w:val="24"/>
          <w:szCs w:val="24"/>
        </w:rPr>
        <w:t>at the latest. This includes submission of the final approved report.</w:t>
      </w:r>
    </w:p>
    <w:p w:rsidR="00090B3C" w:rsidRDefault="004D44B0">
      <w:pPr>
        <w:ind w:left="4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entire assignment should take </w:t>
      </w:r>
      <w:r>
        <w:rPr>
          <w:b/>
          <w:sz w:val="24"/>
          <w:szCs w:val="24"/>
        </w:rPr>
        <w:t>at least 30</w:t>
      </w:r>
      <w:r>
        <w:rPr>
          <w:sz w:val="24"/>
          <w:szCs w:val="24"/>
        </w:rPr>
        <w:t xml:space="preserve"> working days including planning, </w:t>
      </w:r>
      <w:r>
        <w:t xml:space="preserve">review, </w:t>
      </w:r>
      <w:r>
        <w:t xml:space="preserve">inputs collection and consolidation, </w:t>
      </w:r>
      <w:r>
        <w:rPr>
          <w:sz w:val="24"/>
          <w:szCs w:val="24"/>
        </w:rPr>
        <w:t xml:space="preserve">submission of final report and other deliverables related to this assignment. </w:t>
      </w:r>
    </w:p>
    <w:p w:rsidR="00090B3C" w:rsidRDefault="00090B3C">
      <w:pPr>
        <w:spacing w:before="43"/>
        <w:jc w:val="both"/>
        <w:rPr>
          <w:color w:val="000000"/>
          <w:sz w:val="24"/>
          <w:szCs w:val="24"/>
        </w:rPr>
      </w:pPr>
    </w:p>
    <w:p w:rsidR="00090B3C" w:rsidRDefault="004D44B0">
      <w:pPr>
        <w:pStyle w:val="Heading1"/>
        <w:numPr>
          <w:ilvl w:val="0"/>
          <w:numId w:val="1"/>
        </w:numPr>
        <w:shd w:val="clear" w:color="auto" w:fill="C7DAF1"/>
        <w:tabs>
          <w:tab w:val="left" w:pos="480"/>
        </w:tabs>
        <w:ind w:left="480" w:hanging="360"/>
        <w:jc w:val="both"/>
      </w:pPr>
      <w:r>
        <w:t>APPLICATION PROCESS:</w:t>
      </w:r>
    </w:p>
    <w:p w:rsidR="00090B3C" w:rsidRDefault="004D44B0">
      <w:pPr>
        <w:ind w:left="120"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Completed proposals should include: </w:t>
      </w:r>
    </w:p>
    <w:p w:rsidR="00090B3C" w:rsidRDefault="004D44B0">
      <w:pPr>
        <w:numPr>
          <w:ilvl w:val="0"/>
          <w:numId w:val="5"/>
        </w:numPr>
        <w:ind w:right="4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cover Letter</w:t>
      </w:r>
      <w:r>
        <w:rPr>
          <w:sz w:val="24"/>
          <w:szCs w:val="24"/>
        </w:rPr>
        <w:t xml:space="preserve"> expressing interest and availability for the tasks </w:t>
      </w:r>
    </w:p>
    <w:p w:rsidR="00090B3C" w:rsidRDefault="004D44B0">
      <w:pPr>
        <w:numPr>
          <w:ilvl w:val="0"/>
          <w:numId w:val="5"/>
        </w:numPr>
        <w:ind w:right="4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Technical </w:t>
      </w:r>
      <w:r>
        <w:rPr>
          <w:sz w:val="24"/>
          <w:szCs w:val="24"/>
        </w:rPr>
        <w:t>proposal indicating his/her understanding of the assignment, proposed methodology for conducting the assignment and work plan.</w:t>
      </w:r>
    </w:p>
    <w:p w:rsidR="00090B3C" w:rsidRDefault="004D44B0">
      <w:pPr>
        <w:numPr>
          <w:ilvl w:val="0"/>
          <w:numId w:val="5"/>
        </w:numPr>
        <w:ind w:right="4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Financial proposal showing the total cost of conducting the assignment including the breakdown of all the consultancy costs </w:t>
      </w:r>
    </w:p>
    <w:p w:rsidR="00090B3C" w:rsidRDefault="004D44B0">
      <w:pPr>
        <w:numPr>
          <w:ilvl w:val="0"/>
          <w:numId w:val="5"/>
        </w:numPr>
        <w:ind w:right="4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terms for payments in terms of percentages in order to carry out the exercise.</w:t>
      </w:r>
    </w:p>
    <w:p w:rsidR="00090B3C" w:rsidRDefault="004D44B0">
      <w:pPr>
        <w:numPr>
          <w:ilvl w:val="0"/>
          <w:numId w:val="5"/>
        </w:numPr>
        <w:ind w:right="46" w:hanging="360"/>
        <w:jc w:val="both"/>
        <w:rPr>
          <w:sz w:val="24"/>
          <w:szCs w:val="24"/>
        </w:rPr>
      </w:pPr>
      <w:r>
        <w:rPr>
          <w:sz w:val="24"/>
          <w:szCs w:val="24"/>
        </w:rPr>
        <w:t>A list of possible documents for review</w:t>
      </w:r>
    </w:p>
    <w:p w:rsidR="00090B3C" w:rsidRDefault="004D44B0">
      <w:pPr>
        <w:numPr>
          <w:ilvl w:val="0"/>
          <w:numId w:val="5"/>
        </w:numPr>
        <w:ind w:right="46" w:hanging="360"/>
        <w:jc w:val="both"/>
        <w:rPr>
          <w:sz w:val="24"/>
          <w:szCs w:val="24"/>
        </w:rPr>
      </w:pPr>
      <w:r>
        <w:rPr>
          <w:sz w:val="24"/>
          <w:szCs w:val="24"/>
        </w:rPr>
        <w:t>At least one report of a similar assignment conducted elsewhere.</w:t>
      </w:r>
    </w:p>
    <w:p w:rsidR="00090B3C" w:rsidRDefault="004D44B0">
      <w:pPr>
        <w:numPr>
          <w:ilvl w:val="0"/>
          <w:numId w:val="5"/>
        </w:numPr>
        <w:ind w:right="46" w:hanging="360"/>
        <w:jc w:val="both"/>
        <w:rPr>
          <w:sz w:val="24"/>
          <w:szCs w:val="24"/>
        </w:rPr>
      </w:pPr>
      <w:r>
        <w:rPr>
          <w:sz w:val="24"/>
          <w:szCs w:val="24"/>
        </w:rPr>
        <w:t>Detailed curriculum vitae of the consultant with relevant university cer</w:t>
      </w:r>
      <w:r>
        <w:rPr>
          <w:sz w:val="24"/>
          <w:szCs w:val="24"/>
        </w:rPr>
        <w:t>tificates and relevant supporting documents and testimonials.</w:t>
      </w:r>
    </w:p>
    <w:p w:rsidR="00090B3C" w:rsidRDefault="004D44B0">
      <w:pPr>
        <w:numPr>
          <w:ilvl w:val="0"/>
          <w:numId w:val="5"/>
        </w:numPr>
        <w:ind w:right="46" w:hanging="360"/>
        <w:jc w:val="both"/>
        <w:rPr>
          <w:sz w:val="24"/>
          <w:szCs w:val="24"/>
        </w:rPr>
      </w:pPr>
      <w:r>
        <w:rPr>
          <w:sz w:val="24"/>
          <w:szCs w:val="24"/>
        </w:rPr>
        <w:t>Names and contacts of two referees (phone numbers and email)</w:t>
      </w:r>
    </w:p>
    <w:p w:rsidR="00090B3C" w:rsidRDefault="00090B3C">
      <w:pPr>
        <w:jc w:val="both"/>
        <w:rPr>
          <w:color w:val="000000"/>
          <w:sz w:val="24"/>
          <w:szCs w:val="24"/>
        </w:rPr>
      </w:pPr>
    </w:p>
    <w:p w:rsidR="00090B3C" w:rsidRDefault="004D44B0">
      <w:pPr>
        <w:ind w:left="120" w:righ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Interested and qualified consultant (s) or firms should send their application through </w:t>
      </w:r>
      <w:hyperlink r:id="rId8">
        <w:r>
          <w:rPr>
            <w:color w:val="0000FF"/>
            <w:sz w:val="24"/>
            <w:szCs w:val="24"/>
            <w:u w:val="single"/>
          </w:rPr>
          <w:t>inf</w:t>
        </w:r>
        <w:r>
          <w:rPr>
            <w:color w:val="0000FF"/>
            <w:sz w:val="24"/>
            <w:szCs w:val="24"/>
            <w:u w:val="single"/>
          </w:rPr>
          <w:t>o@bibakenya.org</w:t>
        </w:r>
      </w:hyperlink>
      <w:r>
        <w:rPr>
          <w:color w:val="000000"/>
          <w:sz w:val="24"/>
          <w:szCs w:val="24"/>
        </w:rPr>
        <w:t xml:space="preserve"> and cc </w:t>
      </w:r>
      <w:hyperlink r:id="rId9">
        <w:r>
          <w:rPr>
            <w:color w:val="0000FF"/>
            <w:sz w:val="24"/>
            <w:szCs w:val="24"/>
            <w:u w:val="single"/>
          </w:rPr>
          <w:t>kendi.juster@bibakenya.org</w:t>
        </w:r>
      </w:hyperlink>
      <w:r>
        <w:rPr>
          <w:color w:val="000000"/>
          <w:sz w:val="24"/>
          <w:szCs w:val="24"/>
        </w:rPr>
        <w:t xml:space="preserve"> and </w:t>
      </w:r>
      <w:hyperlink r:id="rId10">
        <w:r>
          <w:rPr>
            <w:color w:val="0000FF"/>
            <w:sz w:val="24"/>
            <w:szCs w:val="24"/>
            <w:u w:val="single"/>
          </w:rPr>
          <w:t>anne.maina@bibakenya.org</w:t>
        </w:r>
      </w:hyperlink>
      <w:r>
        <w:rPr>
          <w:color w:val="000000"/>
          <w:sz w:val="24"/>
          <w:szCs w:val="24"/>
        </w:rPr>
        <w:t xml:space="preserve"> with the subject heading: </w:t>
      </w:r>
      <w:r>
        <w:rPr>
          <w:b/>
          <w:color w:val="000000"/>
          <w:sz w:val="24"/>
          <w:szCs w:val="24"/>
        </w:rPr>
        <w:t>Consultancy for BIBA-K SP Review_202</w:t>
      </w:r>
      <w:r>
        <w:rPr>
          <w:b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</w:t>
      </w:r>
    </w:p>
    <w:p w:rsidR="00090B3C" w:rsidRDefault="004D44B0">
      <w:pPr>
        <w:ind w:lef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 xml:space="preserve">closing date for application is </w:t>
      </w:r>
      <w:r>
        <w:rPr>
          <w:b/>
          <w:bCs/>
          <w:color w:val="000000"/>
          <w:sz w:val="24"/>
          <w:szCs w:val="24"/>
        </w:rPr>
        <w:t>30</w:t>
      </w:r>
      <w:r>
        <w:rPr>
          <w:b/>
          <w:bCs/>
          <w:color w:val="000000"/>
          <w:sz w:val="24"/>
          <w:szCs w:val="24"/>
          <w:vertAlign w:val="superscript"/>
        </w:rPr>
        <w:t>t</w:t>
      </w:r>
      <w:r>
        <w:rPr>
          <w:b/>
          <w:color w:val="000000"/>
          <w:sz w:val="24"/>
          <w:szCs w:val="24"/>
          <w:vertAlign w:val="superscript"/>
        </w:rPr>
        <w:t>h</w:t>
      </w:r>
      <w:r>
        <w:rPr>
          <w:b/>
          <w:color w:val="000000"/>
          <w:sz w:val="24"/>
          <w:szCs w:val="24"/>
        </w:rPr>
        <w:t xml:space="preserve"> March 202</w:t>
      </w:r>
      <w:r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Only shortlisted ca</w:t>
      </w:r>
      <w:bookmarkStart w:id="1" w:name="_GoBack"/>
      <w:bookmarkEnd w:id="1"/>
      <w:r>
        <w:rPr>
          <w:color w:val="000000"/>
          <w:sz w:val="24"/>
          <w:szCs w:val="24"/>
        </w:rPr>
        <w:t>ndidates will be contacted</w:t>
      </w:r>
      <w:sdt>
        <w:sdtPr>
          <w:tag w:val="goog_rdk_64"/>
          <w:id w:val="147455202"/>
        </w:sdtPr>
        <w:sdtEndPr/>
        <w:sdtContent>
          <w:r>
            <w:rPr>
              <w:color w:val="000000"/>
              <w:sz w:val="24"/>
              <w:szCs w:val="24"/>
            </w:rPr>
            <w:t>.</w:t>
          </w:r>
        </w:sdtContent>
      </w:sdt>
    </w:p>
    <w:sectPr w:rsidR="00090B3C">
      <w:footerReference w:type="default" r:id="rId11"/>
      <w:pgSz w:w="11910" w:h="16840"/>
      <w:pgMar w:top="620" w:right="600" w:bottom="1200" w:left="600" w:header="0" w:footer="9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B0" w:rsidRDefault="004D44B0">
      <w:r>
        <w:separator/>
      </w:r>
    </w:p>
  </w:endnote>
  <w:endnote w:type="continuationSeparator" w:id="0">
    <w:p w:rsidR="004D44B0" w:rsidRDefault="004D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485656"/>
      <w:docPartObj>
        <w:docPartGallery w:val="AutoText"/>
      </w:docPartObj>
    </w:sdtPr>
    <w:sdtEndPr/>
    <w:sdtContent>
      <w:p w:rsidR="00090B3C" w:rsidRDefault="004D44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B70">
          <w:rPr>
            <w:noProof/>
          </w:rPr>
          <w:t>1</w:t>
        </w:r>
        <w:r>
          <w:fldChar w:fldCharType="end"/>
        </w:r>
      </w:p>
    </w:sdtContent>
  </w:sdt>
  <w:p w:rsidR="00090B3C" w:rsidRDefault="00090B3C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B0" w:rsidRDefault="004D44B0">
      <w:r>
        <w:separator/>
      </w:r>
    </w:p>
  </w:footnote>
  <w:footnote w:type="continuationSeparator" w:id="0">
    <w:p w:rsidR="004D44B0" w:rsidRDefault="004D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2864DF"/>
    <w:multiLevelType w:val="multilevel"/>
    <w:tmpl w:val="F72864DF"/>
    <w:lvl w:ilvl="0">
      <w:start w:val="1"/>
      <w:numFmt w:val="decimal"/>
      <w:lvlText w:val="%1."/>
      <w:lvlJc w:val="left"/>
      <w:pPr>
        <w:ind w:left="477" w:hanging="357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2525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570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615" w:hanging="360"/>
      </w:pPr>
    </w:lvl>
    <w:lvl w:ilvl="7">
      <w:numFmt w:val="bullet"/>
      <w:lvlText w:val="•"/>
      <w:lvlJc w:val="left"/>
      <w:pPr>
        <w:ind w:left="7638" w:hanging="360"/>
      </w:pPr>
    </w:lvl>
    <w:lvl w:ilvl="8">
      <w:numFmt w:val="bullet"/>
      <w:lvlText w:val="•"/>
      <w:lvlJc w:val="left"/>
      <w:pPr>
        <w:ind w:left="8661" w:hanging="360"/>
      </w:pPr>
    </w:lvl>
  </w:abstractNum>
  <w:abstractNum w:abstractNumId="1" w15:restartNumberingAfterBreak="0">
    <w:nsid w:val="069C4441"/>
    <w:multiLevelType w:val="multilevel"/>
    <w:tmpl w:val="069C44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6EA92"/>
    <w:multiLevelType w:val="multilevel"/>
    <w:tmpl w:val="4296EA92"/>
    <w:lvl w:ilvl="0">
      <w:start w:val="1"/>
      <w:numFmt w:val="lowerLetter"/>
      <w:lvlText w:val="%1)"/>
      <w:lvlJc w:val="left"/>
      <w:pPr>
        <w:ind w:left="840" w:hanging="1200"/>
      </w:pPr>
      <w:rPr>
        <w:rFonts w:ascii="Trebuchet MS" w:eastAsia="Trebuchet MS" w:hAnsi="Trebuchet MS" w:cs="Trebuchet M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60" w:hanging="1920"/>
      </w:pPr>
      <w:rPr>
        <w:rFonts w:ascii="Trebuchet MS" w:eastAsia="Trebuchet MS" w:hAnsi="Trebuchet MS" w:cs="Trebuchet M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80" w:hanging="2640"/>
      </w:pPr>
      <w:rPr>
        <w:rFonts w:ascii="Trebuchet MS" w:eastAsia="Trebuchet MS" w:hAnsi="Trebuchet MS" w:cs="Trebuchet M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00" w:hanging="3360"/>
      </w:pPr>
      <w:rPr>
        <w:rFonts w:ascii="Trebuchet MS" w:eastAsia="Trebuchet MS" w:hAnsi="Trebuchet MS" w:cs="Trebuchet M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20" w:hanging="4080"/>
      </w:pPr>
      <w:rPr>
        <w:rFonts w:ascii="Trebuchet MS" w:eastAsia="Trebuchet MS" w:hAnsi="Trebuchet MS" w:cs="Trebuchet M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40" w:hanging="4800"/>
      </w:pPr>
      <w:rPr>
        <w:rFonts w:ascii="Trebuchet MS" w:eastAsia="Trebuchet MS" w:hAnsi="Trebuchet MS" w:cs="Trebuchet M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60" w:hanging="5520"/>
      </w:pPr>
      <w:rPr>
        <w:rFonts w:ascii="Trebuchet MS" w:eastAsia="Trebuchet MS" w:hAnsi="Trebuchet MS" w:cs="Trebuchet M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80" w:hanging="6240"/>
      </w:pPr>
      <w:rPr>
        <w:rFonts w:ascii="Trebuchet MS" w:eastAsia="Trebuchet MS" w:hAnsi="Trebuchet MS" w:cs="Trebuchet M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00" w:hanging="6960"/>
      </w:pPr>
      <w:rPr>
        <w:rFonts w:ascii="Trebuchet MS" w:eastAsia="Trebuchet MS" w:hAnsi="Trebuchet MS" w:cs="Trebuchet M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6B9F070C"/>
    <w:multiLevelType w:val="multilevel"/>
    <w:tmpl w:val="6B9F070C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2" w:hanging="360"/>
      </w:pPr>
    </w:lvl>
    <w:lvl w:ilvl="2">
      <w:numFmt w:val="bullet"/>
      <w:lvlText w:val="•"/>
      <w:lvlJc w:val="left"/>
      <w:pPr>
        <w:ind w:left="2525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570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615" w:hanging="360"/>
      </w:pPr>
    </w:lvl>
    <w:lvl w:ilvl="7">
      <w:numFmt w:val="bullet"/>
      <w:lvlText w:val="•"/>
      <w:lvlJc w:val="left"/>
      <w:pPr>
        <w:ind w:left="7638" w:hanging="360"/>
      </w:pPr>
    </w:lvl>
    <w:lvl w:ilvl="8">
      <w:numFmt w:val="bullet"/>
      <w:lvlText w:val="•"/>
      <w:lvlJc w:val="left"/>
      <w:pPr>
        <w:ind w:left="8661" w:hanging="360"/>
      </w:pPr>
    </w:lvl>
  </w:abstractNum>
  <w:abstractNum w:abstractNumId="4" w15:restartNumberingAfterBreak="0">
    <w:nsid w:val="700F4997"/>
    <w:multiLevelType w:val="multilevel"/>
    <w:tmpl w:val="700F49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B7"/>
    <w:rsid w:val="00026EC6"/>
    <w:rsid w:val="00090B3C"/>
    <w:rsid w:val="000B1B70"/>
    <w:rsid w:val="003830FC"/>
    <w:rsid w:val="004D44B0"/>
    <w:rsid w:val="00520B8D"/>
    <w:rsid w:val="00564AC3"/>
    <w:rsid w:val="005E7E1B"/>
    <w:rsid w:val="00695901"/>
    <w:rsid w:val="006A1792"/>
    <w:rsid w:val="006D37B7"/>
    <w:rsid w:val="007C1564"/>
    <w:rsid w:val="008D18C5"/>
    <w:rsid w:val="00BB4355"/>
    <w:rsid w:val="00C45042"/>
    <w:rsid w:val="00D401FB"/>
    <w:rsid w:val="00E94848"/>
    <w:rsid w:val="00F61BB3"/>
    <w:rsid w:val="00F638C4"/>
    <w:rsid w:val="00F85EB9"/>
    <w:rsid w:val="01C16874"/>
    <w:rsid w:val="36F72019"/>
    <w:rsid w:val="4A0832F6"/>
    <w:rsid w:val="5F1A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85961F-0D4E-4E57-BE3E-16CB6375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pPr>
      <w:ind w:left="477" w:hanging="35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ind w:left="480" w:hanging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qFormat/>
    <w:pPr>
      <w:widowControl w:val="0"/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"/>
    <w:qFormat/>
    <w:pPr>
      <w:jc w:val="center"/>
    </w:pPr>
    <w:rPr>
      <w:b/>
      <w:bCs/>
      <w:sz w:val="28"/>
      <w:szCs w:val="28"/>
    </w:r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ind w:left="107" w:right="98"/>
      <w:jc w:val="both"/>
    </w:pPr>
  </w:style>
  <w:style w:type="paragraph" w:customStyle="1" w:styleId="Revision1">
    <w:name w:val="Revision1"/>
    <w:hidden/>
    <w:uiPriority w:val="99"/>
    <w:unhideWhenUsed/>
    <w:qFormat/>
    <w:pPr>
      <w:widowControl w:val="0"/>
    </w:pPr>
    <w:rPr>
      <w:rFonts w:eastAsia="Times New Roman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</w:rPr>
  </w:style>
  <w:style w:type="character" w:customStyle="1" w:styleId="HeaderChar">
    <w:name w:val="Header Char"/>
    <w:basedOn w:val="DefaultParagraphFont"/>
    <w:link w:val="Header"/>
    <w:rPr>
      <w:rFonts w:eastAsia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bakeny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nne.maina@bibakeny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ndi.juster@bibakeny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Kojo</dc:creator>
  <cp:lastModifiedBy>user</cp:lastModifiedBy>
  <cp:revision>2</cp:revision>
  <dcterms:created xsi:type="dcterms:W3CDTF">2025-03-18T11:24:00Z</dcterms:created>
  <dcterms:modified xsi:type="dcterms:W3CDTF">2025-03-18T11:24:00Z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1033-12.2.0.20326</vt:lpwstr>
  </property>
  <property fmtid="{D5CDD505-2E9C-101B-9397-08002B2CF9AE}" pid="7" name="ICV">
    <vt:lpwstr>D97C5CAA4A04471F9DAB425756CAA2FA_13</vt:lpwstr>
  </property>
  <property fmtid="{D5CDD505-2E9C-101B-9397-08002B2CF9AE}" pid="8" name="GrammarlyDocumentId">
    <vt:lpwstr>179f0283184d48e9d16dff93d830fff2abc31d906421ed7b9ddeac6c7588dfba</vt:lpwstr>
  </property>
</Properties>
</file>